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C7" w:rsidRDefault="008D0732" w:rsidP="00CD3EE9">
      <w:pPr>
        <w:spacing w:before="40" w:after="4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3022EB" w:rsidRDefault="00621FD9" w:rsidP="00CD3EE9">
      <w:pPr>
        <w:spacing w:before="40" w:after="4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CD3EE9" w:rsidRDefault="00CD3EE9" w:rsidP="00CD3EE9">
      <w:pPr>
        <w:spacing w:before="40" w:after="40" w:line="480" w:lineRule="auto"/>
        <w:jc w:val="center"/>
        <w:rPr>
          <w:rFonts w:asciiTheme="majorBidi" w:hAnsiTheme="majorBidi" w:cstheme="majorBidi"/>
          <w:b/>
          <w:bCs/>
          <w:sz w:val="24"/>
          <w:szCs w:val="24"/>
          <w:lang w:val="id-ID"/>
        </w:rPr>
      </w:pPr>
    </w:p>
    <w:p w:rsidR="00621FD9" w:rsidRPr="004C3CD5"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Latar Belakang Masalah</w:t>
      </w:r>
    </w:p>
    <w:p w:rsidR="00685CEE" w:rsidRPr="00570FE3" w:rsidRDefault="00621FD9"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Ko</w:t>
      </w:r>
      <w:r w:rsidR="003E11BD">
        <w:rPr>
          <w:rFonts w:asciiTheme="majorBidi" w:hAnsiTheme="majorBidi" w:cstheme="majorBidi"/>
          <w:sz w:val="24"/>
          <w:szCs w:val="24"/>
          <w:lang w:val="id-ID"/>
        </w:rPr>
        <w:t>ndisi perekonomian yang terus membaik pasca krisis</w:t>
      </w:r>
      <w:r>
        <w:rPr>
          <w:rFonts w:asciiTheme="majorBidi" w:hAnsiTheme="majorBidi" w:cstheme="majorBidi"/>
          <w:sz w:val="24"/>
          <w:szCs w:val="24"/>
          <w:lang w:val="id-ID"/>
        </w:rPr>
        <w:t xml:space="preserve"> dan perbaikan kinerja keuangan nasional baik perbankan, pasar modal, maupun LKNB (Lembaga Keuangan No</w:t>
      </w:r>
      <w:r w:rsidR="007D1A50">
        <w:rPr>
          <w:rFonts w:asciiTheme="majorBidi" w:hAnsiTheme="majorBidi" w:cstheme="majorBidi"/>
          <w:sz w:val="24"/>
          <w:szCs w:val="24"/>
          <w:lang w:val="id-ID"/>
        </w:rPr>
        <w:t>n Bank) berdampak positif terhadap</w:t>
      </w:r>
      <w:r>
        <w:rPr>
          <w:rFonts w:asciiTheme="majorBidi" w:hAnsiTheme="majorBidi" w:cstheme="majorBidi"/>
          <w:sz w:val="24"/>
          <w:szCs w:val="24"/>
          <w:lang w:val="id-ID"/>
        </w:rPr>
        <w:t xml:space="preserve"> perkembangan industri </w:t>
      </w:r>
      <w:r w:rsidR="00251A1C">
        <w:rPr>
          <w:rFonts w:asciiTheme="majorBidi" w:hAnsiTheme="majorBidi" w:cstheme="majorBidi"/>
          <w:sz w:val="24"/>
          <w:szCs w:val="24"/>
          <w:lang w:val="id-ID"/>
        </w:rPr>
        <w:t xml:space="preserve">jasa </w:t>
      </w:r>
      <w:r>
        <w:rPr>
          <w:rFonts w:asciiTheme="majorBidi" w:hAnsiTheme="majorBidi" w:cstheme="majorBidi"/>
          <w:sz w:val="24"/>
          <w:szCs w:val="24"/>
          <w:lang w:val="id-ID"/>
        </w:rPr>
        <w:t>keuangan syariah nasional untuk dapat tumbuh dengan stabil.</w:t>
      </w:r>
      <w:r w:rsidR="001B5504">
        <w:rPr>
          <w:rFonts w:asciiTheme="majorBidi" w:hAnsiTheme="majorBidi" w:cstheme="majorBidi"/>
          <w:sz w:val="24"/>
          <w:szCs w:val="24"/>
          <w:lang w:val="id-ID"/>
        </w:rPr>
        <w:t xml:space="preserve"> </w:t>
      </w:r>
      <w:r w:rsidR="00480D3A">
        <w:rPr>
          <w:rFonts w:asciiTheme="majorBidi" w:hAnsiTheme="majorBidi" w:cstheme="majorBidi"/>
          <w:sz w:val="24"/>
          <w:szCs w:val="24"/>
          <w:lang w:val="id-ID"/>
        </w:rPr>
        <w:t>Dalam</w:t>
      </w:r>
      <w:r w:rsidR="00CE461C">
        <w:rPr>
          <w:rFonts w:asciiTheme="majorBidi" w:hAnsiTheme="majorBidi" w:cstheme="majorBidi"/>
          <w:sz w:val="24"/>
          <w:szCs w:val="24"/>
          <w:lang w:val="id-ID"/>
        </w:rPr>
        <w:t xml:space="preserve"> laporan OJK</w:t>
      </w:r>
      <w:r w:rsidR="00570FE3">
        <w:rPr>
          <w:rFonts w:asciiTheme="majorBidi" w:hAnsiTheme="majorBidi" w:cstheme="majorBidi"/>
          <w:sz w:val="24"/>
          <w:szCs w:val="24"/>
          <w:lang w:val="id-ID"/>
        </w:rPr>
        <w:t xml:space="preserve">, </w:t>
      </w:r>
      <w:r w:rsidR="00F55577">
        <w:rPr>
          <w:rFonts w:asciiTheme="majorBidi" w:hAnsiTheme="majorBidi" w:cstheme="majorBidi"/>
          <w:sz w:val="24"/>
          <w:szCs w:val="24"/>
          <w:lang w:val="id-ID"/>
        </w:rPr>
        <w:t>perkembangan Industri Perbankan S</w:t>
      </w:r>
      <w:r w:rsidR="003E3589">
        <w:rPr>
          <w:rFonts w:asciiTheme="majorBidi" w:hAnsiTheme="majorBidi" w:cstheme="majorBidi"/>
          <w:sz w:val="24"/>
          <w:szCs w:val="24"/>
          <w:lang w:val="id-ID"/>
        </w:rPr>
        <w:t>yariah yang terdiri atas Bank Umum Syariah (BUS), Unit Usaha Syariah (UUS), dan Bank Pembiayaan Rakyat Syariah</w:t>
      </w:r>
      <w:r w:rsidR="00CE461C">
        <w:rPr>
          <w:rFonts w:asciiTheme="majorBidi" w:hAnsiTheme="majorBidi" w:cstheme="majorBidi"/>
          <w:sz w:val="24"/>
          <w:szCs w:val="24"/>
          <w:lang w:val="id-ID"/>
        </w:rPr>
        <w:t xml:space="preserve"> (BPRS) sampai dengan triwulan III</w:t>
      </w:r>
      <w:r w:rsidR="003E3589">
        <w:rPr>
          <w:rFonts w:asciiTheme="majorBidi" w:hAnsiTheme="majorBidi" w:cstheme="majorBidi"/>
          <w:sz w:val="24"/>
          <w:szCs w:val="24"/>
          <w:lang w:val="id-ID"/>
        </w:rPr>
        <w:t>-2017 masih menunjukan pertumbuhan yang positif dengan membaiknya indikator-indikator kinerja perbankan syariah.</w:t>
      </w:r>
      <w:r w:rsidR="0099555E">
        <w:rPr>
          <w:rStyle w:val="FootnoteReference"/>
          <w:rFonts w:asciiTheme="majorBidi" w:hAnsiTheme="majorBidi" w:cstheme="majorBidi"/>
          <w:sz w:val="24"/>
          <w:szCs w:val="24"/>
          <w:lang w:val="id-ID"/>
        </w:rPr>
        <w:footnoteReference w:id="1"/>
      </w:r>
      <w:r w:rsidR="003E3589">
        <w:rPr>
          <w:rFonts w:asciiTheme="majorBidi" w:hAnsiTheme="majorBidi" w:cstheme="majorBidi"/>
          <w:sz w:val="24"/>
          <w:szCs w:val="24"/>
          <w:lang w:val="id-ID"/>
        </w:rPr>
        <w:t xml:space="preserve"> </w:t>
      </w:r>
      <w:r w:rsidR="00570FE3">
        <w:rPr>
          <w:rFonts w:asciiTheme="majorBidi" w:hAnsiTheme="majorBidi" w:cstheme="majorBidi"/>
          <w:sz w:val="24"/>
          <w:szCs w:val="24"/>
          <w:lang w:val="id-ID"/>
        </w:rPr>
        <w:t>Hal ini tercermin dari meningkatnya aset, pembiayaan dan dana pihak ketiga (DPK) masing-masing sebesar 4,49%, 2,31%, dan 5,52% (</w:t>
      </w:r>
      <w:r w:rsidR="00570FE3">
        <w:rPr>
          <w:rFonts w:asciiTheme="majorBidi" w:hAnsiTheme="majorBidi" w:cstheme="majorBidi"/>
          <w:i/>
          <w:iCs/>
          <w:sz w:val="24"/>
          <w:szCs w:val="24"/>
          <w:lang w:val="id-ID"/>
        </w:rPr>
        <w:t>qtq</w:t>
      </w:r>
      <w:r w:rsidR="00570FE3">
        <w:rPr>
          <w:rFonts w:asciiTheme="majorBidi" w:hAnsiTheme="majorBidi" w:cstheme="majorBidi"/>
          <w:sz w:val="24"/>
          <w:szCs w:val="24"/>
          <w:lang w:val="id-ID"/>
        </w:rPr>
        <w:t>) menjadi Rp405,30 triliun, Rp279,13 triliun, dan Rp352.06 triliun. Namun, perkembangan ini tidak diikuti dengan kinerja pasar modal syariah yang mengalami penurunan. Meskipun te</w:t>
      </w:r>
      <w:r w:rsidR="00040ED2">
        <w:rPr>
          <w:rFonts w:asciiTheme="majorBidi" w:hAnsiTheme="majorBidi" w:cstheme="majorBidi"/>
          <w:sz w:val="24"/>
          <w:szCs w:val="24"/>
          <w:lang w:val="id-ID"/>
        </w:rPr>
        <w:t>rjadi kenaikan pada jumlah NAB reksadana s</w:t>
      </w:r>
      <w:r w:rsidR="00570FE3">
        <w:rPr>
          <w:rFonts w:asciiTheme="majorBidi" w:hAnsiTheme="majorBidi" w:cstheme="majorBidi"/>
          <w:sz w:val="24"/>
          <w:szCs w:val="24"/>
          <w:lang w:val="id-ID"/>
        </w:rPr>
        <w:t xml:space="preserve">yariah, namun </w:t>
      </w:r>
      <w:r w:rsidR="00570FE3">
        <w:rPr>
          <w:rFonts w:asciiTheme="majorBidi" w:hAnsiTheme="majorBidi" w:cstheme="majorBidi"/>
          <w:sz w:val="24"/>
          <w:szCs w:val="24"/>
          <w:lang w:val="id-ID"/>
        </w:rPr>
        <w:lastRenderedPageBreak/>
        <w:t>terjadi penurunan pada sukuk korporasi beredar baik dala</w:t>
      </w:r>
      <w:bookmarkStart w:id="0" w:name="_GoBack"/>
      <w:bookmarkEnd w:id="0"/>
      <w:r w:rsidR="00570FE3">
        <w:rPr>
          <w:rFonts w:asciiTheme="majorBidi" w:hAnsiTheme="majorBidi" w:cstheme="majorBidi"/>
          <w:sz w:val="24"/>
          <w:szCs w:val="24"/>
          <w:lang w:val="id-ID"/>
        </w:rPr>
        <w:t>m sisi jumlah maupun nilainya. Penurunan juga terjadi pada ISSI dan JII baik indeks dan kapitalisasinya.</w:t>
      </w:r>
    </w:p>
    <w:p w:rsidR="0031675D" w:rsidRDefault="000F275B"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Bank syariah memiliki peran sebagai lembaga perantara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intermediary</w:t>
      </w:r>
      <w:r w:rsidR="00040ED2">
        <w:rPr>
          <w:rFonts w:asciiTheme="majorBidi" w:hAnsiTheme="majorBidi" w:cstheme="majorBidi"/>
          <w:sz w:val="24"/>
          <w:szCs w:val="24"/>
          <w:lang w:val="id-ID"/>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antara unit-unit ekonomi yang mengalami kelebihan dana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surplus units</w:t>
      </w:r>
      <w:r w:rsidR="00040ED2">
        <w:rPr>
          <w:rFonts w:asciiTheme="majorBidi" w:hAnsiTheme="majorBidi" w:cstheme="majorBidi"/>
          <w:sz w:val="24"/>
          <w:szCs w:val="24"/>
          <w:lang w:val="id-ID"/>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dengan unit-unit lain yang mengalami kekurangan dana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deficit unit</w:t>
      </w:r>
      <w:r w:rsidR="00040ED2">
        <w:rPr>
          <w:rFonts w:asciiTheme="majorBidi" w:hAnsiTheme="majorBidi" w:cstheme="majorBidi"/>
          <w:sz w:val="24"/>
          <w:szCs w:val="24"/>
          <w:lang w:val="id-ID"/>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Melalui bank, kelebihan tersebut dapat disalurkan kepada pihak-pihak yang memerlukan sehingga memberikan manfaat kepada kedua belah pihak.</w:t>
      </w:r>
      <w:r>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w:t>
      </w:r>
    </w:p>
    <w:p w:rsidR="00C34CCD" w:rsidRDefault="00FB11B9"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Bagi sebuah bank</w:t>
      </w:r>
      <w:r w:rsidR="0031675D">
        <w:rPr>
          <w:rFonts w:asciiTheme="majorBidi" w:hAnsiTheme="majorBidi" w:cstheme="majorBidi"/>
          <w:sz w:val="24"/>
          <w:szCs w:val="24"/>
          <w:lang w:val="id-ID"/>
        </w:rPr>
        <w:t xml:space="preserve">, permodalan </w:t>
      </w:r>
      <w:r>
        <w:rPr>
          <w:rFonts w:asciiTheme="majorBidi" w:hAnsiTheme="majorBidi" w:cstheme="majorBidi"/>
          <w:sz w:val="24"/>
          <w:szCs w:val="24"/>
          <w:lang w:val="id-ID"/>
        </w:rPr>
        <w:t xml:space="preserve">merupakan faktor yang amat penting guna </w:t>
      </w:r>
      <w:r w:rsidR="0031675D">
        <w:rPr>
          <w:rFonts w:asciiTheme="majorBidi" w:hAnsiTheme="majorBidi" w:cstheme="majorBidi"/>
          <w:sz w:val="24"/>
          <w:szCs w:val="24"/>
          <w:lang w:val="id-ID"/>
        </w:rPr>
        <w:t xml:space="preserve"> perkembangan dan </w:t>
      </w:r>
      <w:r>
        <w:rPr>
          <w:rFonts w:asciiTheme="majorBidi" w:hAnsiTheme="majorBidi" w:cstheme="majorBidi"/>
          <w:sz w:val="24"/>
          <w:szCs w:val="24"/>
          <w:lang w:val="id-ID"/>
        </w:rPr>
        <w:t>kemajuan sebuah bank sekaligus berfungs</w:t>
      </w:r>
      <w:r w:rsidR="0031675D">
        <w:rPr>
          <w:rFonts w:asciiTheme="majorBidi" w:hAnsiTheme="majorBidi" w:cstheme="majorBidi"/>
          <w:sz w:val="24"/>
          <w:szCs w:val="24"/>
          <w:lang w:val="id-ID"/>
        </w:rPr>
        <w:t>i sebagai penjaga kepercayaan masyarakat, disamping berpotensi menghasilkan keuntungan juga berpotensi menimbulkan risiko, modal bank berfungsi sebagai penyangga terakhir untuk memproteksi bank dari kerugian y</w:t>
      </w:r>
      <w:r w:rsidR="00C34CCD">
        <w:rPr>
          <w:rFonts w:asciiTheme="majorBidi" w:hAnsiTheme="majorBidi" w:cstheme="majorBidi"/>
          <w:sz w:val="24"/>
          <w:szCs w:val="24"/>
          <w:lang w:val="id-ID"/>
        </w:rPr>
        <w:t>ang  tidak terduga dan m</w:t>
      </w:r>
      <w:r w:rsidR="007C0E75">
        <w:rPr>
          <w:rFonts w:asciiTheme="majorBidi" w:hAnsiTheme="majorBidi" w:cstheme="majorBidi"/>
          <w:sz w:val="24"/>
          <w:szCs w:val="24"/>
          <w:lang w:val="id-ID"/>
        </w:rPr>
        <w:t>emelihara kelangsungan usahanya. Sumber dana bank syariah dapat diperoleh dari empat sumber, yaitu modal, titipan, investasi dan investasi khusus.</w:t>
      </w:r>
      <w:r w:rsidR="007C0E75">
        <w:rPr>
          <w:rStyle w:val="FootnoteReference"/>
          <w:rFonts w:asciiTheme="majorBidi" w:hAnsiTheme="majorBidi" w:cstheme="majorBidi"/>
          <w:sz w:val="24"/>
          <w:szCs w:val="24"/>
          <w:lang w:val="id-ID"/>
        </w:rPr>
        <w:footnoteReference w:id="3"/>
      </w:r>
      <w:r w:rsidR="007C0E75">
        <w:rPr>
          <w:rFonts w:asciiTheme="majorBidi" w:hAnsiTheme="majorBidi" w:cstheme="majorBidi"/>
          <w:sz w:val="24"/>
          <w:szCs w:val="24"/>
          <w:lang w:val="id-ID"/>
        </w:rPr>
        <w:t xml:space="preserve"> </w:t>
      </w:r>
    </w:p>
    <w:p w:rsidR="008B32F6" w:rsidRDefault="0099555E"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w:t>
      </w:r>
      <w:r w:rsidR="008B32F6">
        <w:rPr>
          <w:rFonts w:asciiTheme="majorBidi" w:hAnsiTheme="majorBidi" w:cstheme="majorBidi"/>
          <w:sz w:val="24"/>
          <w:szCs w:val="24"/>
          <w:lang w:val="id-ID"/>
        </w:rPr>
        <w:t xml:space="preserve">erusahaan </w:t>
      </w:r>
      <w:r>
        <w:rPr>
          <w:rFonts w:asciiTheme="majorBidi" w:hAnsiTheme="majorBidi" w:cstheme="majorBidi"/>
          <w:sz w:val="24"/>
          <w:szCs w:val="24"/>
          <w:lang w:val="id-ID"/>
        </w:rPr>
        <w:t xml:space="preserve">mempunyai kebijakan </w:t>
      </w:r>
      <w:r w:rsidR="008B32F6">
        <w:rPr>
          <w:rFonts w:asciiTheme="majorBidi" w:hAnsiTheme="majorBidi" w:cstheme="majorBidi"/>
          <w:sz w:val="24"/>
          <w:szCs w:val="24"/>
          <w:lang w:val="id-ID"/>
        </w:rPr>
        <w:t>agar bisa mendapatkan dana tanpa harus berutang ke perbankan dan menerbitkan saham baru adalah dengan menerbitkan obligasi. Obligasi diterbitkan oleh suatu perusahaan dengan tujuan untuk menghindari risiko yang terjadi dikemudian hari. Sehingga jika kita lihat bahwa obligasi juga termasuk dalam bagian dari manajemen risiko yaitu mengalihkan risiko yang terjadi dikemudian hari jika nanti pihak per</w:t>
      </w:r>
      <w:r w:rsidR="00480D3A">
        <w:rPr>
          <w:rFonts w:asciiTheme="majorBidi" w:hAnsiTheme="majorBidi" w:cstheme="majorBidi"/>
          <w:sz w:val="24"/>
          <w:szCs w:val="24"/>
          <w:lang w:val="id-ID"/>
        </w:rPr>
        <w:t>usahaan tidak sanggup lagi memb</w:t>
      </w:r>
      <w:r w:rsidR="008B32F6">
        <w:rPr>
          <w:rFonts w:asciiTheme="majorBidi" w:hAnsiTheme="majorBidi" w:cstheme="majorBidi"/>
          <w:sz w:val="24"/>
          <w:szCs w:val="24"/>
          <w:lang w:val="id-ID"/>
        </w:rPr>
        <w:t>ayar bunga obl</w:t>
      </w:r>
      <w:r w:rsidR="008E4750">
        <w:rPr>
          <w:rFonts w:asciiTheme="majorBidi" w:hAnsiTheme="majorBidi" w:cstheme="majorBidi"/>
          <w:sz w:val="24"/>
          <w:szCs w:val="24"/>
          <w:lang w:val="id-ID"/>
        </w:rPr>
        <w:t>i</w:t>
      </w:r>
      <w:r w:rsidR="008B32F6">
        <w:rPr>
          <w:rFonts w:asciiTheme="majorBidi" w:hAnsiTheme="majorBidi" w:cstheme="majorBidi"/>
          <w:sz w:val="24"/>
          <w:szCs w:val="24"/>
          <w:lang w:val="id-ID"/>
        </w:rPr>
        <w:t>gasi maka obligasi tersebut masih dapat dialihkan ke dalam bentuk saham atau yang lainnya.</w:t>
      </w:r>
      <w:r w:rsidR="008B32F6">
        <w:rPr>
          <w:rStyle w:val="FootnoteReference"/>
          <w:rFonts w:asciiTheme="majorBidi" w:hAnsiTheme="majorBidi" w:cstheme="majorBidi"/>
          <w:sz w:val="24"/>
          <w:szCs w:val="24"/>
          <w:lang w:val="id-ID"/>
        </w:rPr>
        <w:footnoteReference w:id="4"/>
      </w:r>
      <w:r w:rsidR="008B32F6">
        <w:rPr>
          <w:rFonts w:asciiTheme="majorBidi" w:hAnsiTheme="majorBidi" w:cstheme="majorBidi"/>
          <w:sz w:val="24"/>
          <w:szCs w:val="24"/>
          <w:lang w:val="id-ID"/>
        </w:rPr>
        <w:t xml:space="preserve"> </w:t>
      </w:r>
    </w:p>
    <w:p w:rsidR="00C706DF" w:rsidRPr="00C706DF" w:rsidRDefault="000651AF" w:rsidP="00CD3EE9">
      <w:pPr>
        <w:spacing w:before="40" w:after="40" w:line="480" w:lineRule="auto"/>
        <w:ind w:firstLine="720"/>
        <w:jc w:val="both"/>
        <w:rPr>
          <w:rFonts w:asciiTheme="majorBidi" w:hAnsiTheme="majorBidi" w:cstheme="majorBidi"/>
          <w:sz w:val="24"/>
          <w:szCs w:val="24"/>
          <w:lang w:val="id-ID"/>
        </w:rPr>
      </w:pPr>
      <w:r w:rsidRPr="000651AF">
        <w:rPr>
          <w:rFonts w:asciiTheme="majorBidi" w:hAnsiTheme="majorBidi" w:cstheme="majorBidi"/>
          <w:sz w:val="24"/>
          <w:szCs w:val="24"/>
          <w:lang w:val="id-ID"/>
        </w:rPr>
        <w:t xml:space="preserve">Obligasi syariah </w:t>
      </w:r>
      <w:r w:rsidR="00CE461C">
        <w:rPr>
          <w:rFonts w:asciiTheme="majorBidi" w:hAnsiTheme="majorBidi" w:cstheme="majorBidi"/>
          <w:sz w:val="24"/>
          <w:szCs w:val="24"/>
          <w:lang w:val="id-ID"/>
        </w:rPr>
        <w:t>(</w:t>
      </w:r>
      <w:r w:rsidR="005E66BA">
        <w:rPr>
          <w:rFonts w:asciiTheme="majorBidi" w:hAnsiTheme="majorBidi" w:cstheme="majorBidi"/>
          <w:i/>
          <w:iCs/>
          <w:sz w:val="24"/>
          <w:szCs w:val="24"/>
          <w:lang w:val="id-ID"/>
        </w:rPr>
        <w:t>s</w:t>
      </w:r>
      <w:r w:rsidR="008E4750" w:rsidRPr="008E4750">
        <w:rPr>
          <w:rFonts w:asciiTheme="majorBidi" w:hAnsiTheme="majorBidi" w:cstheme="majorBidi"/>
          <w:i/>
          <w:iCs/>
          <w:sz w:val="24"/>
          <w:szCs w:val="24"/>
          <w:lang w:val="id-ID"/>
        </w:rPr>
        <w:t>ukuk</w:t>
      </w:r>
      <w:r w:rsidR="00CE461C">
        <w:rPr>
          <w:rFonts w:asciiTheme="majorBidi" w:hAnsiTheme="majorBidi" w:cstheme="majorBidi"/>
          <w:sz w:val="24"/>
          <w:szCs w:val="24"/>
          <w:lang w:val="id-ID"/>
        </w:rPr>
        <w:t>)</w:t>
      </w:r>
      <w:r w:rsidR="00C706DF">
        <w:rPr>
          <w:rFonts w:asciiTheme="majorBidi" w:hAnsiTheme="majorBidi" w:cstheme="majorBidi"/>
          <w:sz w:val="24"/>
          <w:szCs w:val="24"/>
          <w:lang w:val="id-ID"/>
        </w:rPr>
        <w:t xml:space="preserve"> adalah efek syariah berupa sertifikat atau bukti kepemilikan yang bernilai sama dengan mewakili bagian yang tidak terpisahkan atau tidak terbagi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syusyu’/undivided share</w:t>
      </w:r>
      <w:r w:rsidR="00040ED2">
        <w:rPr>
          <w:rFonts w:asciiTheme="majorBidi" w:hAnsiTheme="majorBidi" w:cstheme="majorBidi"/>
          <w:sz w:val="24"/>
          <w:szCs w:val="24"/>
          <w:lang w:val="id-ID"/>
        </w:rPr>
        <w:t>)</w:t>
      </w:r>
      <w:r w:rsidR="00C706DF">
        <w:rPr>
          <w:rFonts w:asciiTheme="majorBidi" w:hAnsiTheme="majorBidi" w:cstheme="majorBidi"/>
          <w:i/>
          <w:iCs/>
          <w:sz w:val="24"/>
          <w:szCs w:val="24"/>
          <w:lang w:val="id-ID"/>
        </w:rPr>
        <w:t xml:space="preserve">, </w:t>
      </w:r>
      <w:r w:rsidR="00C706DF">
        <w:rPr>
          <w:rFonts w:asciiTheme="majorBidi" w:hAnsiTheme="majorBidi" w:cstheme="majorBidi"/>
          <w:sz w:val="24"/>
          <w:szCs w:val="24"/>
          <w:lang w:val="id-ID"/>
        </w:rPr>
        <w:t>atas aset yang mendasarinya. Berdasarkan definisi tersebu</w:t>
      </w:r>
      <w:r w:rsidR="008E4750">
        <w:rPr>
          <w:rFonts w:asciiTheme="majorBidi" w:hAnsiTheme="majorBidi" w:cstheme="majorBidi"/>
          <w:sz w:val="24"/>
          <w:szCs w:val="24"/>
          <w:lang w:val="id-ID"/>
        </w:rPr>
        <w:t>t, bahwa</w:t>
      </w:r>
      <w:r w:rsidR="00CE461C">
        <w:rPr>
          <w:rFonts w:asciiTheme="majorBidi" w:hAnsiTheme="majorBidi" w:cstheme="majorBidi"/>
          <w:sz w:val="24"/>
          <w:szCs w:val="24"/>
          <w:lang w:val="id-ID"/>
        </w:rPr>
        <w:t xml:space="preserve"> </w:t>
      </w:r>
      <w:r w:rsidR="005E66BA">
        <w:rPr>
          <w:rFonts w:asciiTheme="majorBidi" w:hAnsiTheme="majorBidi" w:cstheme="majorBidi"/>
          <w:sz w:val="24"/>
          <w:szCs w:val="24"/>
          <w:lang w:val="id-ID"/>
        </w:rPr>
        <w:t>o</w:t>
      </w:r>
      <w:r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C706DF">
        <w:rPr>
          <w:rFonts w:asciiTheme="majorBidi" w:hAnsiTheme="majorBidi" w:cstheme="majorBidi"/>
          <w:sz w:val="24"/>
          <w:szCs w:val="24"/>
          <w:lang w:val="id-ID"/>
        </w:rPr>
        <w:t xml:space="preserve"> bukan merupakan surat utang, melainkan bukti kepemilikan bersama atas suatu aset</w:t>
      </w:r>
      <w:r w:rsidR="008E4750">
        <w:rPr>
          <w:rFonts w:asciiTheme="majorBidi" w:hAnsiTheme="majorBidi" w:cstheme="majorBidi"/>
          <w:sz w:val="24"/>
          <w:szCs w:val="24"/>
          <w:lang w:val="id-ID"/>
        </w:rPr>
        <w:t xml:space="preserve">/proyek. Dengan demikian, </w:t>
      </w:r>
      <w:r w:rsidR="005E66BA">
        <w:rPr>
          <w:rFonts w:asciiTheme="majorBidi" w:hAnsiTheme="majorBidi" w:cstheme="majorBidi"/>
          <w:sz w:val="24"/>
          <w:szCs w:val="24"/>
          <w:lang w:val="id-ID"/>
        </w:rPr>
        <w:t>o</w:t>
      </w:r>
      <w:r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8E4750">
        <w:rPr>
          <w:rFonts w:asciiTheme="majorBidi" w:hAnsiTheme="majorBidi" w:cstheme="majorBidi"/>
          <w:i/>
          <w:iCs/>
          <w:sz w:val="24"/>
          <w:szCs w:val="24"/>
          <w:lang w:val="id-ID"/>
        </w:rPr>
        <w:t xml:space="preserve"> </w:t>
      </w:r>
      <w:r w:rsidR="00C706DF">
        <w:rPr>
          <w:rFonts w:asciiTheme="majorBidi" w:hAnsiTheme="majorBidi" w:cstheme="majorBidi"/>
          <w:sz w:val="24"/>
          <w:szCs w:val="24"/>
          <w:lang w:val="id-ID"/>
        </w:rPr>
        <w:t xml:space="preserve">yang diterbitkan harus mempunyai aset yang dijadikan dasar penerbitan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underlying asset</w:t>
      </w:r>
      <w:r w:rsidR="00040ED2">
        <w:rPr>
          <w:rFonts w:asciiTheme="majorBidi" w:hAnsiTheme="majorBidi" w:cstheme="majorBidi"/>
          <w:sz w:val="24"/>
          <w:szCs w:val="24"/>
          <w:lang w:val="id-ID"/>
        </w:rPr>
        <w:t>)</w:t>
      </w:r>
      <w:r w:rsidR="00C706DF">
        <w:rPr>
          <w:rFonts w:asciiTheme="majorBidi" w:hAnsiTheme="majorBidi" w:cstheme="majorBidi"/>
          <w:i/>
          <w:iCs/>
          <w:sz w:val="24"/>
          <w:szCs w:val="24"/>
          <w:lang w:val="id-ID"/>
        </w:rPr>
        <w:t xml:space="preserve">. </w:t>
      </w:r>
      <w:r w:rsidR="00C706DF">
        <w:rPr>
          <w:rFonts w:asciiTheme="majorBidi" w:hAnsiTheme="majorBidi" w:cstheme="majorBidi"/>
          <w:sz w:val="24"/>
          <w:szCs w:val="24"/>
          <w:lang w:val="id-ID"/>
        </w:rPr>
        <w:t xml:space="preserve">Keberadaan </w:t>
      </w:r>
      <w:r w:rsidR="00C706DF">
        <w:rPr>
          <w:rFonts w:asciiTheme="majorBidi" w:hAnsiTheme="majorBidi" w:cstheme="majorBidi"/>
          <w:i/>
          <w:iCs/>
          <w:sz w:val="24"/>
          <w:szCs w:val="24"/>
          <w:lang w:val="id-ID"/>
        </w:rPr>
        <w:t xml:space="preserve">underlying asset </w:t>
      </w:r>
      <w:r w:rsidR="00C706DF">
        <w:rPr>
          <w:rFonts w:asciiTheme="majorBidi" w:hAnsiTheme="majorBidi" w:cstheme="majorBidi"/>
          <w:sz w:val="24"/>
          <w:szCs w:val="24"/>
          <w:lang w:val="id-ID"/>
        </w:rPr>
        <w:t>ini memberikan kejelasan sumber imbal hasil bagi pemegang</w:t>
      </w:r>
      <w:r w:rsidR="00CE461C">
        <w:rPr>
          <w:rFonts w:asciiTheme="majorBidi" w:hAnsiTheme="majorBidi" w:cstheme="majorBidi"/>
          <w:sz w:val="24"/>
          <w:szCs w:val="24"/>
          <w:lang w:val="id-ID"/>
        </w:rPr>
        <w:t xml:space="preserve"> </w:t>
      </w:r>
      <w:r w:rsidR="005E66BA">
        <w:rPr>
          <w:rFonts w:asciiTheme="majorBidi" w:hAnsiTheme="majorBidi" w:cstheme="majorBidi"/>
          <w:sz w:val="24"/>
          <w:szCs w:val="24"/>
          <w:lang w:val="id-ID"/>
        </w:rPr>
        <w:t>o</w:t>
      </w:r>
      <w:r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8E4750">
        <w:rPr>
          <w:rFonts w:asciiTheme="majorBidi" w:hAnsiTheme="majorBidi" w:cstheme="majorBidi"/>
          <w:sz w:val="24"/>
          <w:szCs w:val="24"/>
          <w:lang w:val="id-ID"/>
        </w:rPr>
        <w:t xml:space="preserve">. Imbalan bagi pemegang </w:t>
      </w:r>
      <w:r w:rsidR="005E66BA">
        <w:rPr>
          <w:rFonts w:asciiTheme="majorBidi" w:hAnsiTheme="majorBidi" w:cstheme="majorBidi"/>
          <w:sz w:val="24"/>
          <w:szCs w:val="24"/>
          <w:lang w:val="id-ID"/>
        </w:rPr>
        <w:t>o</w:t>
      </w:r>
      <w:r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C706DF">
        <w:rPr>
          <w:rFonts w:asciiTheme="majorBidi" w:hAnsiTheme="majorBidi" w:cstheme="majorBidi"/>
          <w:sz w:val="24"/>
          <w:szCs w:val="24"/>
          <w:lang w:val="id-ID"/>
        </w:rPr>
        <w:t xml:space="preserve"> dapat </w:t>
      </w:r>
      <w:r w:rsidR="00C706DF">
        <w:rPr>
          <w:rFonts w:asciiTheme="majorBidi" w:hAnsiTheme="majorBidi" w:cstheme="majorBidi"/>
          <w:sz w:val="24"/>
          <w:szCs w:val="24"/>
          <w:lang w:val="id-ID"/>
        </w:rPr>
        <w:lastRenderedPageBreak/>
        <w:t xml:space="preserve">berupa imbalan, bagi hasil, atau marjin, sesuai dengan jenis akad yang digunakan dalam penerbitan </w:t>
      </w:r>
      <w:r w:rsidR="008E4750" w:rsidRPr="008E4750">
        <w:rPr>
          <w:rFonts w:asciiTheme="majorBidi" w:hAnsiTheme="majorBidi" w:cstheme="majorBidi"/>
          <w:i/>
          <w:iCs/>
          <w:sz w:val="24"/>
          <w:szCs w:val="24"/>
          <w:lang w:val="id-ID"/>
        </w:rPr>
        <w:t>sukuk</w:t>
      </w:r>
      <w:r w:rsidR="00C706DF">
        <w:rPr>
          <w:rFonts w:asciiTheme="majorBidi" w:hAnsiTheme="majorBidi" w:cstheme="majorBidi"/>
          <w:sz w:val="24"/>
          <w:szCs w:val="24"/>
          <w:lang w:val="id-ID"/>
        </w:rPr>
        <w:t>.</w:t>
      </w:r>
      <w:r w:rsidR="00C706DF">
        <w:rPr>
          <w:rStyle w:val="FootnoteReference"/>
          <w:rFonts w:asciiTheme="majorBidi" w:hAnsiTheme="majorBidi" w:cstheme="majorBidi"/>
          <w:sz w:val="24"/>
          <w:szCs w:val="24"/>
          <w:lang w:val="id-ID"/>
        </w:rPr>
        <w:footnoteReference w:id="5"/>
      </w:r>
      <w:r w:rsidR="00C706DF">
        <w:rPr>
          <w:rFonts w:asciiTheme="majorBidi" w:hAnsiTheme="majorBidi" w:cstheme="majorBidi"/>
          <w:sz w:val="24"/>
          <w:szCs w:val="24"/>
          <w:lang w:val="id-ID"/>
        </w:rPr>
        <w:t xml:space="preserve"> </w:t>
      </w:r>
    </w:p>
    <w:p w:rsidR="00621FD9" w:rsidRDefault="00E20590"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R</w:t>
      </w:r>
      <w:r w:rsidR="00361EBA">
        <w:rPr>
          <w:rFonts w:asciiTheme="majorBidi" w:hAnsiTheme="majorBidi" w:cstheme="majorBidi"/>
          <w:sz w:val="24"/>
          <w:szCs w:val="24"/>
          <w:lang w:val="id-ID"/>
        </w:rPr>
        <w:t xml:space="preserve">egulasi yang mengatur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361EBA">
        <w:rPr>
          <w:rFonts w:asciiTheme="majorBidi" w:hAnsiTheme="majorBidi" w:cstheme="majorBidi"/>
          <w:sz w:val="24"/>
          <w:szCs w:val="24"/>
          <w:lang w:val="id-ID"/>
        </w:rPr>
        <w:t xml:space="preserve"> diantaranya, </w:t>
      </w:r>
      <w:r w:rsidR="00621FD9">
        <w:rPr>
          <w:rFonts w:asciiTheme="majorBidi" w:hAnsiTheme="majorBidi" w:cstheme="majorBidi"/>
          <w:sz w:val="24"/>
          <w:szCs w:val="24"/>
          <w:lang w:val="id-ID"/>
        </w:rPr>
        <w:t>Fatwa Dewan Syariah Nasional (DSN) Nomor: 32/DSN-MUI/IX/2002.</w:t>
      </w:r>
      <w:r w:rsidR="00621FD9">
        <w:rPr>
          <w:rStyle w:val="FootnoteReference"/>
          <w:rFonts w:asciiTheme="majorBidi" w:hAnsiTheme="majorBidi" w:cstheme="majorBidi"/>
          <w:sz w:val="24"/>
          <w:szCs w:val="24"/>
          <w:lang w:val="id-ID"/>
        </w:rPr>
        <w:footnoteReference w:id="6"/>
      </w:r>
      <w:r w:rsidR="00621FD9">
        <w:rPr>
          <w:rFonts w:asciiTheme="majorBidi" w:hAnsiTheme="majorBidi" w:cstheme="majorBidi"/>
          <w:sz w:val="24"/>
          <w:szCs w:val="24"/>
          <w:lang w:val="id-ID"/>
        </w:rPr>
        <w:t xml:space="preserve"> </w:t>
      </w:r>
      <w:r w:rsidR="00DE19F6">
        <w:rPr>
          <w:rFonts w:asciiTheme="majorBidi" w:hAnsiTheme="majorBidi" w:cstheme="majorBidi"/>
          <w:sz w:val="24"/>
          <w:szCs w:val="24"/>
          <w:lang w:val="id-ID"/>
        </w:rPr>
        <w:t>Selanjutnya</w:t>
      </w:r>
      <w:r w:rsidR="00D82AAA">
        <w:rPr>
          <w:rFonts w:asciiTheme="majorBidi" w:hAnsiTheme="majorBidi" w:cstheme="majorBidi"/>
          <w:sz w:val="24"/>
          <w:szCs w:val="24"/>
          <w:lang w:val="id-ID"/>
        </w:rPr>
        <w:t xml:space="preserve">, </w:t>
      </w:r>
      <w:r w:rsidR="00B22C66">
        <w:rPr>
          <w:rFonts w:asciiTheme="majorBidi" w:hAnsiTheme="majorBidi" w:cstheme="majorBidi"/>
          <w:sz w:val="24"/>
          <w:szCs w:val="24"/>
          <w:lang w:val="id-ID"/>
        </w:rPr>
        <w:t>OJK</w:t>
      </w:r>
      <w:r w:rsidR="00D82AAA">
        <w:rPr>
          <w:rFonts w:asciiTheme="majorBidi" w:hAnsiTheme="majorBidi" w:cstheme="majorBidi"/>
          <w:sz w:val="24"/>
          <w:szCs w:val="24"/>
          <w:lang w:val="id-ID"/>
        </w:rPr>
        <w:t xml:space="preserve"> menerbitkan regulasi</w:t>
      </w:r>
      <w:r w:rsidR="00B22C66">
        <w:rPr>
          <w:rFonts w:asciiTheme="majorBidi" w:hAnsiTheme="majorBidi" w:cstheme="majorBidi"/>
          <w:sz w:val="24"/>
          <w:szCs w:val="24"/>
          <w:lang w:val="id-ID"/>
        </w:rPr>
        <w:t xml:space="preserve"> dalam</w:t>
      </w:r>
      <w:r w:rsidR="00621FD9">
        <w:rPr>
          <w:rFonts w:asciiTheme="majorBidi" w:hAnsiTheme="majorBidi" w:cstheme="majorBidi"/>
          <w:sz w:val="24"/>
          <w:szCs w:val="24"/>
          <w:lang w:val="id-ID"/>
        </w:rPr>
        <w:t xml:space="preserve"> POJK</w:t>
      </w:r>
      <w:r w:rsidR="003A7134">
        <w:rPr>
          <w:rFonts w:asciiTheme="majorBidi" w:hAnsiTheme="majorBidi" w:cstheme="majorBidi"/>
          <w:sz w:val="24"/>
          <w:szCs w:val="24"/>
          <w:lang w:val="id-ID"/>
        </w:rPr>
        <w:t xml:space="preserve"> Nomor 18/POJK.04/2015 tentang Penerbitan dan P</w:t>
      </w:r>
      <w:r w:rsidR="00621FD9">
        <w:rPr>
          <w:rFonts w:asciiTheme="majorBidi" w:hAnsiTheme="majorBidi" w:cstheme="majorBidi"/>
          <w:sz w:val="24"/>
          <w:szCs w:val="24"/>
          <w:lang w:val="id-ID"/>
        </w:rPr>
        <w:t xml:space="preserve">ersyaratan </w:t>
      </w:r>
      <w:r w:rsidR="003A7134">
        <w:rPr>
          <w:rFonts w:asciiTheme="majorBidi" w:hAnsiTheme="majorBidi" w:cstheme="majorBidi"/>
          <w:i/>
          <w:iCs/>
          <w:sz w:val="24"/>
          <w:szCs w:val="24"/>
          <w:lang w:val="id-ID"/>
        </w:rPr>
        <w:t>S</w:t>
      </w:r>
      <w:r w:rsidR="008E4750" w:rsidRPr="008E4750">
        <w:rPr>
          <w:rFonts w:asciiTheme="majorBidi" w:hAnsiTheme="majorBidi" w:cstheme="majorBidi"/>
          <w:i/>
          <w:iCs/>
          <w:sz w:val="24"/>
          <w:szCs w:val="24"/>
          <w:lang w:val="id-ID"/>
        </w:rPr>
        <w:t>ukuk</w:t>
      </w:r>
      <w:r w:rsidR="00621FD9">
        <w:rPr>
          <w:rFonts w:asciiTheme="majorBidi" w:hAnsiTheme="majorBidi" w:cstheme="majorBidi"/>
          <w:sz w:val="24"/>
          <w:szCs w:val="24"/>
          <w:lang w:val="id-ID"/>
        </w:rPr>
        <w:t>.</w:t>
      </w:r>
    </w:p>
    <w:p w:rsidR="00910F1C" w:rsidRDefault="008E4750"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Hingga akhir tahun </w:t>
      </w:r>
      <w:r w:rsidR="00910F1C">
        <w:rPr>
          <w:rFonts w:asciiTheme="majorBidi" w:hAnsiTheme="majorBidi" w:cstheme="majorBidi"/>
          <w:sz w:val="24"/>
          <w:szCs w:val="24"/>
          <w:lang w:val="id-ID"/>
        </w:rPr>
        <w:t xml:space="preserve">2017, total ada 79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910F1C">
        <w:rPr>
          <w:rFonts w:asciiTheme="majorBidi" w:hAnsiTheme="majorBidi" w:cstheme="majorBidi"/>
          <w:sz w:val="24"/>
          <w:szCs w:val="24"/>
          <w:lang w:val="id-ID"/>
        </w:rPr>
        <w:t xml:space="preserve"> korporasi yang masih beredar dengan nilai Rp15,740 Triliun. Ada 3 bank syariah yang masih terdaftar, diantaranya PT. Bank BNI Syariah dengan nilai Rp500 Miliar, PT. Bank Muamalat Ind</w:t>
      </w:r>
      <w:r w:rsidR="00D765D1">
        <w:rPr>
          <w:rFonts w:asciiTheme="majorBidi" w:hAnsiTheme="majorBidi" w:cstheme="majorBidi"/>
          <w:sz w:val="24"/>
          <w:szCs w:val="24"/>
          <w:lang w:val="id-ID"/>
        </w:rPr>
        <w:t>onesia dengan nilai Rp1,5 Triliun</w:t>
      </w:r>
      <w:r w:rsidR="00910F1C">
        <w:rPr>
          <w:rFonts w:asciiTheme="majorBidi" w:hAnsiTheme="majorBidi" w:cstheme="majorBidi"/>
          <w:sz w:val="24"/>
          <w:szCs w:val="24"/>
          <w:lang w:val="id-ID"/>
        </w:rPr>
        <w:t xml:space="preserve"> dan PT. BRI Syariah dengan nil</w:t>
      </w:r>
      <w:r w:rsidR="00432B59">
        <w:rPr>
          <w:rFonts w:asciiTheme="majorBidi" w:hAnsiTheme="majorBidi" w:cstheme="majorBidi"/>
          <w:sz w:val="24"/>
          <w:szCs w:val="24"/>
          <w:lang w:val="id-ID"/>
        </w:rPr>
        <w:t xml:space="preserve">ai Rp1 Triliun. Nilai </w:t>
      </w:r>
      <w:r w:rsidR="00432B59">
        <w:rPr>
          <w:rFonts w:asciiTheme="majorBidi" w:hAnsiTheme="majorBidi" w:cstheme="majorBidi"/>
          <w:i/>
          <w:iCs/>
          <w:sz w:val="24"/>
          <w:szCs w:val="24"/>
          <w:lang w:val="id-ID"/>
        </w:rPr>
        <w:t>outstanding</w:t>
      </w:r>
      <w:r w:rsidR="00F22BF6">
        <w:rPr>
          <w:rFonts w:asciiTheme="majorBidi" w:hAnsiTheme="majorBidi" w:cstheme="majorBidi"/>
          <w:sz w:val="24"/>
          <w:szCs w:val="24"/>
          <w:lang w:val="id-ID"/>
        </w:rPr>
        <w:t xml:space="preserve"> sukuk</w:t>
      </w:r>
      <w:r w:rsidR="00910F1C">
        <w:rPr>
          <w:rFonts w:asciiTheme="majorBidi" w:hAnsiTheme="majorBidi" w:cstheme="majorBidi"/>
          <w:sz w:val="24"/>
          <w:szCs w:val="24"/>
          <w:lang w:val="id-ID"/>
        </w:rPr>
        <w:t xml:space="preserve"> yang terus meningkat dari tahu</w:t>
      </w:r>
      <w:r w:rsidR="00432B59">
        <w:rPr>
          <w:rFonts w:asciiTheme="majorBidi" w:hAnsiTheme="majorBidi" w:cstheme="majorBidi"/>
          <w:sz w:val="24"/>
          <w:szCs w:val="24"/>
          <w:lang w:val="id-ID"/>
        </w:rPr>
        <w:t>n ke tahun, menandakan pasar</w:t>
      </w:r>
      <w:r w:rsidR="00F22BF6">
        <w:rPr>
          <w:rFonts w:asciiTheme="majorBidi" w:hAnsiTheme="majorBidi" w:cstheme="majorBidi"/>
          <w:sz w:val="24"/>
          <w:szCs w:val="24"/>
          <w:lang w:val="id-ID"/>
        </w:rPr>
        <w:t xml:space="preserve"> sukuk</w:t>
      </w:r>
      <w:r w:rsidR="00432B59">
        <w:rPr>
          <w:rFonts w:asciiTheme="majorBidi" w:hAnsiTheme="majorBidi" w:cstheme="majorBidi"/>
          <w:sz w:val="24"/>
          <w:szCs w:val="24"/>
          <w:lang w:val="id-ID"/>
        </w:rPr>
        <w:t xml:space="preserve"> di Indonesia banyak diminati oleh perusahaan-perusahaan guna memperkuat aspek permodalannya. </w:t>
      </w:r>
    </w:p>
    <w:p w:rsidR="00621FD9" w:rsidRDefault="00CE461C"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Perbedaan yang mendasar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Pr>
          <w:rFonts w:asciiTheme="majorBidi" w:hAnsiTheme="majorBidi" w:cstheme="majorBidi"/>
          <w:sz w:val="24"/>
          <w:szCs w:val="24"/>
          <w:lang w:val="id-ID"/>
        </w:rPr>
        <w:t>(</w:t>
      </w:r>
      <w:r>
        <w:rPr>
          <w:rFonts w:asciiTheme="majorBidi" w:hAnsiTheme="majorBidi" w:cstheme="majorBidi"/>
          <w:i/>
          <w:iCs/>
          <w:sz w:val="24"/>
          <w:szCs w:val="24"/>
          <w:lang w:val="id-ID"/>
        </w:rPr>
        <w:t>sukuk</w:t>
      </w:r>
      <w:r>
        <w:rPr>
          <w:rFonts w:asciiTheme="majorBidi" w:hAnsiTheme="majorBidi" w:cstheme="majorBidi"/>
          <w:sz w:val="24"/>
          <w:szCs w:val="24"/>
          <w:lang w:val="id-ID"/>
        </w:rPr>
        <w:t>)</w:t>
      </w:r>
      <w:r w:rsidR="008E4750">
        <w:rPr>
          <w:rFonts w:asciiTheme="majorBidi" w:hAnsiTheme="majorBidi" w:cstheme="majorBidi"/>
          <w:i/>
          <w:iCs/>
          <w:sz w:val="24"/>
          <w:szCs w:val="24"/>
          <w:lang w:val="id-ID"/>
        </w:rPr>
        <w:t xml:space="preserve"> </w:t>
      </w:r>
      <w:r w:rsidR="00621FD9">
        <w:rPr>
          <w:rFonts w:asciiTheme="majorBidi" w:hAnsiTheme="majorBidi" w:cstheme="majorBidi"/>
          <w:sz w:val="24"/>
          <w:szCs w:val="24"/>
          <w:lang w:val="id-ID"/>
        </w:rPr>
        <w:t xml:space="preserve">dan </w:t>
      </w:r>
      <w:r>
        <w:rPr>
          <w:rFonts w:asciiTheme="majorBidi" w:hAnsiTheme="majorBidi" w:cstheme="majorBidi"/>
          <w:sz w:val="24"/>
          <w:szCs w:val="24"/>
          <w:lang w:val="id-ID"/>
        </w:rPr>
        <w:t xml:space="preserve">konvensional adalah pada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Pr>
          <w:rFonts w:asciiTheme="majorBidi" w:hAnsiTheme="majorBidi" w:cstheme="majorBidi"/>
          <w:sz w:val="24"/>
          <w:szCs w:val="24"/>
          <w:lang w:val="id-ID"/>
        </w:rPr>
        <w:t>(</w:t>
      </w:r>
      <w:r>
        <w:rPr>
          <w:rFonts w:asciiTheme="majorBidi" w:hAnsiTheme="majorBidi" w:cstheme="majorBidi"/>
          <w:i/>
          <w:iCs/>
          <w:sz w:val="24"/>
          <w:szCs w:val="24"/>
          <w:lang w:val="id-ID"/>
        </w:rPr>
        <w:t>sukuk</w:t>
      </w:r>
      <w:r>
        <w:rPr>
          <w:rFonts w:asciiTheme="majorBidi" w:hAnsiTheme="majorBidi" w:cstheme="majorBidi"/>
          <w:sz w:val="24"/>
          <w:szCs w:val="24"/>
          <w:lang w:val="id-ID"/>
        </w:rPr>
        <w:t>)</w:t>
      </w:r>
      <w:r w:rsidR="00621FD9">
        <w:rPr>
          <w:rFonts w:asciiTheme="majorBidi" w:hAnsiTheme="majorBidi" w:cstheme="majorBidi"/>
          <w:sz w:val="24"/>
          <w:szCs w:val="24"/>
          <w:lang w:val="id-ID"/>
        </w:rPr>
        <w:t xml:space="preserve"> </w:t>
      </w:r>
      <w:r w:rsidR="00621FD9" w:rsidRPr="00101218">
        <w:rPr>
          <w:rFonts w:asciiTheme="majorBidi" w:hAnsiTheme="majorBidi" w:cstheme="majorBidi"/>
          <w:i/>
          <w:iCs/>
          <w:sz w:val="24"/>
          <w:szCs w:val="24"/>
          <w:lang w:val="id-ID"/>
        </w:rPr>
        <w:t>return</w:t>
      </w:r>
      <w:r w:rsidR="00621FD9">
        <w:rPr>
          <w:rFonts w:asciiTheme="majorBidi" w:hAnsiTheme="majorBidi" w:cstheme="majorBidi"/>
          <w:sz w:val="24"/>
          <w:szCs w:val="24"/>
          <w:lang w:val="id-ID"/>
        </w:rPr>
        <w:t xml:space="preserve"> tidak ditetapkan secara nominal, tetapi dengan memberikan nisbah bagi hasil untuk pemegang obligasi, serta penggunaan dana emisi obligasi </w:t>
      </w:r>
      <w:r w:rsidR="00621FD9">
        <w:rPr>
          <w:rFonts w:asciiTheme="majorBidi" w:hAnsiTheme="majorBidi" w:cstheme="majorBidi"/>
          <w:sz w:val="24"/>
          <w:szCs w:val="24"/>
          <w:lang w:val="id-ID"/>
        </w:rPr>
        <w:lastRenderedPageBreak/>
        <w:t xml:space="preserve">tersebut harus sesuai dengan prinsip syariah. Dengan menerbitkan obligasi dana segar disuntikan ke bank, </w:t>
      </w:r>
      <w:r w:rsidR="00D1620B">
        <w:rPr>
          <w:rFonts w:asciiTheme="majorBidi" w:hAnsiTheme="majorBidi" w:cstheme="majorBidi"/>
          <w:sz w:val="24"/>
          <w:szCs w:val="24"/>
          <w:lang w:val="id-ID"/>
        </w:rPr>
        <w:t xml:space="preserve">kemudian </w:t>
      </w:r>
      <w:r w:rsidR="00621FD9">
        <w:rPr>
          <w:rFonts w:asciiTheme="majorBidi" w:hAnsiTheme="majorBidi" w:cstheme="majorBidi"/>
          <w:sz w:val="24"/>
          <w:szCs w:val="24"/>
          <w:lang w:val="id-ID"/>
        </w:rPr>
        <w:t>bank tinggal menyalurkann</w:t>
      </w:r>
      <w:r w:rsidR="00D1620B">
        <w:rPr>
          <w:rFonts w:asciiTheme="majorBidi" w:hAnsiTheme="majorBidi" w:cstheme="majorBidi"/>
          <w:sz w:val="24"/>
          <w:szCs w:val="24"/>
          <w:lang w:val="id-ID"/>
        </w:rPr>
        <w:t xml:space="preserve">ya secara agresif dan hati-hati, </w:t>
      </w:r>
      <w:r w:rsidR="00621FD9">
        <w:rPr>
          <w:rFonts w:asciiTheme="majorBidi" w:hAnsiTheme="majorBidi" w:cstheme="majorBidi"/>
          <w:sz w:val="24"/>
          <w:szCs w:val="24"/>
          <w:lang w:val="id-ID"/>
        </w:rPr>
        <w:t>dengan jangka waktu jatuh tempo yang relatif lama antar</w:t>
      </w:r>
      <w:r w:rsidR="00040ED2">
        <w:rPr>
          <w:rFonts w:asciiTheme="majorBidi" w:hAnsiTheme="majorBidi" w:cstheme="majorBidi"/>
          <w:sz w:val="24"/>
          <w:szCs w:val="24"/>
          <w:lang w:val="id-ID"/>
        </w:rPr>
        <w:t>a</w:t>
      </w:r>
      <w:r w:rsidR="00621FD9">
        <w:rPr>
          <w:rFonts w:asciiTheme="majorBidi" w:hAnsiTheme="majorBidi" w:cstheme="majorBidi"/>
          <w:sz w:val="24"/>
          <w:szCs w:val="24"/>
          <w:lang w:val="id-ID"/>
        </w:rPr>
        <w:t xml:space="preserve"> 5-7 tahun memungkinkan </w:t>
      </w:r>
      <w:r w:rsidR="00D1620B">
        <w:rPr>
          <w:rFonts w:asciiTheme="majorBidi" w:hAnsiTheme="majorBidi" w:cstheme="majorBidi"/>
          <w:sz w:val="24"/>
          <w:szCs w:val="24"/>
          <w:lang w:val="id-ID"/>
        </w:rPr>
        <w:t xml:space="preserve">dapat </w:t>
      </w:r>
      <w:r w:rsidR="00621FD9">
        <w:rPr>
          <w:rFonts w:asciiTheme="majorBidi" w:hAnsiTheme="majorBidi" w:cstheme="majorBidi"/>
          <w:sz w:val="24"/>
          <w:szCs w:val="24"/>
          <w:lang w:val="id-ID"/>
        </w:rPr>
        <w:t>meningkatk</w:t>
      </w:r>
      <w:r w:rsidR="00D1620B">
        <w:rPr>
          <w:rFonts w:asciiTheme="majorBidi" w:hAnsiTheme="majorBidi" w:cstheme="majorBidi"/>
          <w:sz w:val="24"/>
          <w:szCs w:val="24"/>
          <w:lang w:val="id-ID"/>
        </w:rPr>
        <w:t>an pendapatan bagi bank itu sendiri</w:t>
      </w:r>
      <w:r w:rsidR="00621FD9">
        <w:rPr>
          <w:rFonts w:asciiTheme="majorBidi" w:hAnsiTheme="majorBidi" w:cstheme="majorBidi"/>
          <w:sz w:val="24"/>
          <w:szCs w:val="24"/>
          <w:lang w:val="id-ID"/>
        </w:rPr>
        <w:t>.</w:t>
      </w:r>
      <w:r w:rsidR="00621FD9">
        <w:rPr>
          <w:rStyle w:val="FootnoteReference"/>
          <w:rFonts w:asciiTheme="majorBidi" w:hAnsiTheme="majorBidi" w:cstheme="majorBidi"/>
          <w:sz w:val="24"/>
          <w:szCs w:val="24"/>
          <w:lang w:val="id-ID"/>
        </w:rPr>
        <w:footnoteReference w:id="7"/>
      </w:r>
      <w:r w:rsidR="00621FD9">
        <w:rPr>
          <w:rFonts w:asciiTheme="majorBidi" w:hAnsiTheme="majorBidi" w:cstheme="majorBidi"/>
          <w:sz w:val="24"/>
          <w:szCs w:val="24"/>
          <w:lang w:val="id-ID"/>
        </w:rPr>
        <w:t xml:space="preserve"> </w:t>
      </w:r>
    </w:p>
    <w:p w:rsidR="00621FD9" w:rsidRDefault="00CE461C" w:rsidP="00CD3EE9">
      <w:pPr>
        <w:spacing w:before="40" w:after="40" w:line="480" w:lineRule="auto"/>
        <w:ind w:firstLine="720"/>
        <w:jc w:val="both"/>
        <w:rPr>
          <w:rFonts w:asciiTheme="majorBidi" w:hAnsiTheme="majorBidi" w:cstheme="majorBidi"/>
          <w:color w:val="FF0000"/>
          <w:sz w:val="24"/>
          <w:szCs w:val="24"/>
          <w:lang w:val="id-ID"/>
        </w:rPr>
      </w:pPr>
      <w:r>
        <w:rPr>
          <w:rFonts w:asciiTheme="majorBidi" w:hAnsiTheme="majorBidi" w:cstheme="majorBidi"/>
          <w:sz w:val="24"/>
          <w:szCs w:val="24"/>
          <w:lang w:val="id-ID"/>
        </w:rPr>
        <w:t xml:space="preserve">Penerbitan </w:t>
      </w:r>
      <w:r w:rsidR="00F22BF6">
        <w:rPr>
          <w:rFonts w:asciiTheme="majorBidi" w:hAnsiTheme="majorBidi" w:cstheme="majorBidi"/>
          <w:sz w:val="24"/>
          <w:szCs w:val="24"/>
          <w:lang w:val="id-ID"/>
        </w:rPr>
        <w:t xml:space="preserve">sukuk oleh korporasi </w:t>
      </w:r>
      <w:r w:rsidR="00621FD9">
        <w:rPr>
          <w:rFonts w:asciiTheme="majorBidi" w:hAnsiTheme="majorBidi" w:cstheme="majorBidi"/>
          <w:sz w:val="24"/>
          <w:szCs w:val="24"/>
          <w:lang w:val="id-ID"/>
        </w:rPr>
        <w:t>sangat berp</w:t>
      </w:r>
      <w:r w:rsidR="000C1B87">
        <w:rPr>
          <w:rFonts w:asciiTheme="majorBidi" w:hAnsiTheme="majorBidi" w:cstheme="majorBidi"/>
          <w:sz w:val="24"/>
          <w:szCs w:val="24"/>
          <w:lang w:val="id-ID"/>
        </w:rPr>
        <w:t>engaruh terhadap aspek permodalan</w:t>
      </w:r>
      <w:r w:rsidR="00791608">
        <w:rPr>
          <w:rFonts w:asciiTheme="majorBidi" w:hAnsiTheme="majorBidi" w:cstheme="majorBidi"/>
          <w:sz w:val="24"/>
          <w:szCs w:val="24"/>
          <w:lang w:val="id-ID"/>
        </w:rPr>
        <w:t xml:space="preserve"> </w:t>
      </w:r>
      <w:r w:rsidR="00040ED2">
        <w:rPr>
          <w:rFonts w:asciiTheme="majorBidi" w:hAnsiTheme="majorBidi" w:cstheme="majorBidi"/>
          <w:sz w:val="24"/>
          <w:szCs w:val="24"/>
          <w:lang w:val="id-ID"/>
        </w:rPr>
        <w:t>(</w:t>
      </w:r>
      <w:r w:rsidR="00040ED2">
        <w:rPr>
          <w:rFonts w:asciiTheme="majorBidi" w:hAnsiTheme="majorBidi" w:cstheme="majorBidi"/>
          <w:i/>
          <w:iCs/>
          <w:sz w:val="24"/>
          <w:szCs w:val="24"/>
          <w:lang w:val="id-ID"/>
        </w:rPr>
        <w:t>capital</w:t>
      </w:r>
      <w:r w:rsidR="00040ED2">
        <w:rPr>
          <w:rFonts w:asciiTheme="majorBidi" w:hAnsiTheme="majorBidi" w:cstheme="majorBidi"/>
          <w:sz w:val="24"/>
          <w:szCs w:val="24"/>
          <w:lang w:val="id-ID"/>
        </w:rPr>
        <w:t>)</w:t>
      </w:r>
      <w:r w:rsidR="00791608">
        <w:rPr>
          <w:rFonts w:asciiTheme="majorBidi" w:hAnsiTheme="majorBidi" w:cstheme="majorBidi"/>
          <w:i/>
          <w:iCs/>
          <w:sz w:val="24"/>
          <w:szCs w:val="24"/>
          <w:lang w:val="id-ID"/>
        </w:rPr>
        <w:t xml:space="preserve"> </w:t>
      </w:r>
      <w:r w:rsidR="00791608">
        <w:rPr>
          <w:rFonts w:asciiTheme="majorBidi" w:hAnsiTheme="majorBidi" w:cstheme="majorBidi"/>
          <w:sz w:val="24"/>
          <w:szCs w:val="24"/>
          <w:lang w:val="id-ID"/>
        </w:rPr>
        <w:t xml:space="preserve">dan </w:t>
      </w:r>
      <w:r w:rsidR="00DD562B">
        <w:rPr>
          <w:rFonts w:asciiTheme="majorBidi" w:hAnsiTheme="majorBidi" w:cstheme="majorBidi"/>
          <w:sz w:val="24"/>
          <w:szCs w:val="24"/>
          <w:lang w:val="id-ID"/>
        </w:rPr>
        <w:t xml:space="preserve">secara berkesinambungan akan memepengaruhi aspek </w:t>
      </w:r>
      <w:r w:rsidR="00040ED2">
        <w:rPr>
          <w:rFonts w:asciiTheme="majorBidi" w:hAnsiTheme="majorBidi" w:cstheme="majorBidi"/>
          <w:sz w:val="24"/>
          <w:szCs w:val="24"/>
          <w:lang w:val="id-ID"/>
        </w:rPr>
        <w:t>profitabilitas</w:t>
      </w:r>
      <w:r w:rsidR="00DD562B">
        <w:rPr>
          <w:rFonts w:asciiTheme="majorBidi" w:hAnsiTheme="majorBidi" w:cstheme="majorBidi"/>
          <w:sz w:val="24"/>
          <w:szCs w:val="24"/>
          <w:lang w:val="id-ID"/>
        </w:rPr>
        <w:t xml:space="preserve">. </w:t>
      </w:r>
      <w:r w:rsidR="00621FD9" w:rsidRPr="00E32F6B">
        <w:rPr>
          <w:rFonts w:asciiTheme="majorBidi" w:hAnsiTheme="majorBidi" w:cstheme="majorBidi"/>
          <w:sz w:val="24"/>
          <w:szCs w:val="24"/>
          <w:lang w:val="id-ID"/>
        </w:rPr>
        <w:t xml:space="preserve">Kinerja perbankan sendiri dapat diukur </w:t>
      </w:r>
      <w:r w:rsidR="00D1620B" w:rsidRPr="00E32F6B">
        <w:rPr>
          <w:rFonts w:asciiTheme="majorBidi" w:hAnsiTheme="majorBidi" w:cstheme="majorBidi"/>
          <w:sz w:val="24"/>
          <w:szCs w:val="24"/>
          <w:lang w:val="id-ID"/>
        </w:rPr>
        <w:t>melalui tingkat kesehatan bank  yang biasa di</w:t>
      </w:r>
      <w:r w:rsidR="007D15AA">
        <w:rPr>
          <w:rFonts w:asciiTheme="majorBidi" w:hAnsiTheme="majorBidi" w:cstheme="majorBidi"/>
          <w:sz w:val="24"/>
          <w:szCs w:val="24"/>
          <w:lang w:val="id-ID"/>
        </w:rPr>
        <w:t>kenal</w:t>
      </w:r>
      <w:r w:rsidR="00D1620B" w:rsidRPr="00E32F6B">
        <w:rPr>
          <w:rFonts w:asciiTheme="majorBidi" w:hAnsiTheme="majorBidi" w:cstheme="majorBidi"/>
          <w:sz w:val="24"/>
          <w:szCs w:val="24"/>
          <w:lang w:val="id-ID"/>
        </w:rPr>
        <w:t xml:space="preserve"> </w:t>
      </w:r>
      <w:r w:rsidR="000C1B87">
        <w:rPr>
          <w:rFonts w:asciiTheme="majorBidi" w:hAnsiTheme="majorBidi" w:cstheme="majorBidi"/>
          <w:sz w:val="24"/>
          <w:szCs w:val="24"/>
          <w:lang w:val="id-ID"/>
        </w:rPr>
        <w:t>dengan metode</w:t>
      </w:r>
      <w:r w:rsidR="007D15AA">
        <w:rPr>
          <w:rFonts w:asciiTheme="majorBidi" w:hAnsiTheme="majorBidi" w:cstheme="majorBidi"/>
          <w:sz w:val="24"/>
          <w:szCs w:val="24"/>
          <w:lang w:val="id-ID"/>
        </w:rPr>
        <w:t xml:space="preserve"> </w:t>
      </w:r>
      <w:r w:rsidR="00D1620B" w:rsidRPr="00E32F6B">
        <w:rPr>
          <w:rFonts w:asciiTheme="majorBidi" w:hAnsiTheme="majorBidi" w:cstheme="majorBidi"/>
          <w:sz w:val="24"/>
          <w:szCs w:val="24"/>
          <w:lang w:val="id-ID"/>
        </w:rPr>
        <w:t>CAMEL</w:t>
      </w:r>
      <w:r w:rsidR="00432B59">
        <w:rPr>
          <w:rFonts w:asciiTheme="majorBidi" w:hAnsiTheme="majorBidi" w:cstheme="majorBidi"/>
          <w:sz w:val="24"/>
          <w:szCs w:val="24"/>
          <w:lang w:val="id-ID"/>
        </w:rPr>
        <w:t xml:space="preserve"> </w:t>
      </w:r>
      <w:r w:rsidR="00432B59">
        <w:rPr>
          <w:rFonts w:asciiTheme="majorBidi" w:hAnsiTheme="majorBidi" w:cstheme="majorBidi"/>
          <w:i/>
          <w:iCs/>
          <w:sz w:val="24"/>
          <w:szCs w:val="24"/>
          <w:lang w:val="id-ID"/>
        </w:rPr>
        <w:t>(Capital, Assets, Management, Earning and Liquidity)</w:t>
      </w:r>
      <w:r w:rsidR="00D1620B" w:rsidRPr="00E32F6B">
        <w:rPr>
          <w:rFonts w:asciiTheme="majorBidi" w:hAnsiTheme="majorBidi" w:cstheme="majorBidi"/>
          <w:sz w:val="24"/>
          <w:szCs w:val="24"/>
          <w:lang w:val="id-ID"/>
        </w:rPr>
        <w:t xml:space="preserve">. </w:t>
      </w:r>
    </w:p>
    <w:p w:rsidR="00D1620B" w:rsidRPr="00E32F6B" w:rsidRDefault="00662FDC"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00040ED2">
        <w:rPr>
          <w:rFonts w:asciiTheme="majorBidi" w:hAnsiTheme="majorBidi" w:cstheme="majorBidi"/>
          <w:sz w:val="24"/>
          <w:szCs w:val="24"/>
          <w:lang w:val="id-ID"/>
        </w:rPr>
        <w:t>asal 29 A</w:t>
      </w:r>
      <w:r w:rsidR="00D1620B" w:rsidRPr="00E32F6B">
        <w:rPr>
          <w:rFonts w:asciiTheme="majorBidi" w:hAnsiTheme="majorBidi" w:cstheme="majorBidi"/>
          <w:sz w:val="24"/>
          <w:szCs w:val="24"/>
          <w:lang w:val="id-ID"/>
        </w:rPr>
        <w:t xml:space="preserve">yat 2 Bab V Undang-Undang Republik Indonesia No. 7 Tahun 1992 </w:t>
      </w:r>
      <w:r w:rsidR="00243D39">
        <w:rPr>
          <w:rFonts w:asciiTheme="majorBidi" w:hAnsiTheme="majorBidi" w:cstheme="majorBidi"/>
          <w:sz w:val="24"/>
          <w:szCs w:val="24"/>
          <w:lang w:val="id-ID"/>
        </w:rPr>
        <w:t xml:space="preserve">tentang Perbankan (telah diperbaharui kedalam Undang-Undang No. 10 Tahun 1998 tentang Perbankan) </w:t>
      </w:r>
      <w:r w:rsidR="00D1620B" w:rsidRPr="00E32F6B">
        <w:rPr>
          <w:rFonts w:asciiTheme="majorBidi" w:hAnsiTheme="majorBidi" w:cstheme="majorBidi"/>
          <w:sz w:val="24"/>
          <w:szCs w:val="24"/>
          <w:lang w:val="id-ID"/>
        </w:rPr>
        <w:t xml:space="preserve">disebutkan “Bank Indonesia menetapkan ketentuan tentang kesehatan bank dengan memperhatikan aspek permodalan, kualitas aset, kualitas manajemen, </w:t>
      </w:r>
      <w:r w:rsidR="00D1620B" w:rsidRPr="00E32F6B">
        <w:rPr>
          <w:rFonts w:asciiTheme="majorBidi" w:hAnsiTheme="majorBidi" w:cstheme="majorBidi"/>
          <w:sz w:val="24"/>
          <w:szCs w:val="24"/>
          <w:lang w:val="id-ID"/>
        </w:rPr>
        <w:lastRenderedPageBreak/>
        <w:t>rentabilitas likuiditas, solvabilitas, dan aspek lain yang berhubungan dengan bank”.</w:t>
      </w:r>
      <w:r w:rsidR="00D1620B" w:rsidRPr="00E32F6B">
        <w:rPr>
          <w:rStyle w:val="FootnoteReference"/>
          <w:rFonts w:asciiTheme="majorBidi" w:hAnsiTheme="majorBidi" w:cstheme="majorBidi"/>
          <w:sz w:val="24"/>
          <w:szCs w:val="24"/>
          <w:lang w:val="id-ID"/>
        </w:rPr>
        <w:footnoteReference w:id="8"/>
      </w:r>
      <w:r w:rsidR="00D1620B" w:rsidRPr="00E32F6B">
        <w:rPr>
          <w:rFonts w:asciiTheme="majorBidi" w:hAnsiTheme="majorBidi" w:cstheme="majorBidi"/>
          <w:sz w:val="24"/>
          <w:szCs w:val="24"/>
          <w:lang w:val="id-ID"/>
        </w:rPr>
        <w:t xml:space="preserve"> </w:t>
      </w:r>
    </w:p>
    <w:p w:rsidR="00FB2339" w:rsidRDefault="00B30A27" w:rsidP="00CD3EE9">
      <w:pPr>
        <w:spacing w:before="40" w:after="40" w:line="480" w:lineRule="auto"/>
        <w:ind w:firstLine="720"/>
        <w:jc w:val="both"/>
        <w:rPr>
          <w:rFonts w:asciiTheme="majorBidi" w:hAnsiTheme="majorBidi" w:cstheme="majorBidi"/>
          <w:sz w:val="24"/>
          <w:szCs w:val="24"/>
          <w:lang w:val="id-ID"/>
        </w:rPr>
      </w:pPr>
      <w:r w:rsidRPr="008B1AE6">
        <w:rPr>
          <w:rFonts w:asciiTheme="majorBidi" w:hAnsiTheme="majorBidi" w:cstheme="majorBidi"/>
          <w:sz w:val="24"/>
          <w:szCs w:val="24"/>
          <w:lang w:val="id-ID"/>
        </w:rPr>
        <w:t>Kuatnya bank syariah menghadapi krisis pada t</w:t>
      </w:r>
      <w:r w:rsidR="00040ED2">
        <w:rPr>
          <w:rFonts w:asciiTheme="majorBidi" w:hAnsiTheme="majorBidi" w:cstheme="majorBidi"/>
          <w:sz w:val="24"/>
          <w:szCs w:val="24"/>
          <w:lang w:val="id-ID"/>
        </w:rPr>
        <w:t>ahun 1997-1998 memberikan hikmah</w:t>
      </w:r>
      <w:r w:rsidRPr="008B1AE6">
        <w:rPr>
          <w:rFonts w:asciiTheme="majorBidi" w:hAnsiTheme="majorBidi" w:cstheme="majorBidi"/>
          <w:sz w:val="24"/>
          <w:szCs w:val="24"/>
          <w:lang w:val="id-ID"/>
        </w:rPr>
        <w:t xml:space="preserve"> dan pembelajaran</w:t>
      </w:r>
      <w:r w:rsidR="00040ED2">
        <w:rPr>
          <w:rFonts w:asciiTheme="majorBidi" w:hAnsiTheme="majorBidi" w:cstheme="majorBidi"/>
          <w:sz w:val="24"/>
          <w:szCs w:val="24"/>
          <w:lang w:val="id-ID"/>
        </w:rPr>
        <w:t xml:space="preserve"> tersendiri disektor perekonomian mikro maupun makro, khususnya</w:t>
      </w:r>
      <w:r w:rsidRPr="008B1AE6">
        <w:rPr>
          <w:rFonts w:asciiTheme="majorBidi" w:hAnsiTheme="majorBidi" w:cstheme="majorBidi"/>
          <w:sz w:val="24"/>
          <w:szCs w:val="24"/>
          <w:lang w:val="id-ID"/>
        </w:rPr>
        <w:t xml:space="preserve"> bagi pihak yang berkepentingan terutama pemerintah dan para regulator (Bank Indonesia dan Otoritas Jasa Keuangan) saat ini. Bank muamalat sebagai bank syariah pertama di Indonesia juga menjadi bank syariah pertama yang m</w:t>
      </w:r>
      <w:r w:rsidR="00CE461C">
        <w:rPr>
          <w:rFonts w:asciiTheme="majorBidi" w:hAnsiTheme="majorBidi" w:cstheme="majorBidi"/>
          <w:sz w:val="24"/>
          <w:szCs w:val="24"/>
          <w:lang w:val="id-ID"/>
        </w:rPr>
        <w:t xml:space="preserve">enerbitkan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Pr="008B1AE6">
        <w:rPr>
          <w:rFonts w:asciiTheme="majorBidi" w:hAnsiTheme="majorBidi" w:cstheme="majorBidi"/>
          <w:sz w:val="24"/>
          <w:szCs w:val="24"/>
          <w:lang w:val="id-ID"/>
        </w:rPr>
        <w:t xml:space="preserve">. Pada tahun 2003 bank muamalat telah menerbitkan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Pr="008B1AE6">
        <w:rPr>
          <w:rFonts w:asciiTheme="majorBidi" w:hAnsiTheme="majorBidi" w:cstheme="majorBidi"/>
          <w:sz w:val="24"/>
          <w:szCs w:val="24"/>
          <w:lang w:val="id-ID"/>
        </w:rPr>
        <w:t xml:space="preserve">1 subordinasi sebesar Rp200 miliar, selanjutnya pada juni 2012 kembali menerbitkan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Pr="008B1AE6">
        <w:rPr>
          <w:rFonts w:asciiTheme="majorBidi" w:hAnsiTheme="majorBidi" w:cstheme="majorBidi"/>
          <w:sz w:val="24"/>
          <w:szCs w:val="24"/>
          <w:lang w:val="id-ID"/>
        </w:rPr>
        <w:t xml:space="preserve"> subordinasi mudharabah berkelanjutan sebesar Rp1,5 triliun secara bertahap. </w:t>
      </w:r>
      <w:r w:rsidR="008E4750" w:rsidRPr="008E4750">
        <w:rPr>
          <w:rFonts w:asciiTheme="majorBidi" w:hAnsiTheme="majorBidi" w:cstheme="majorBidi"/>
          <w:i/>
          <w:iCs/>
          <w:sz w:val="24"/>
          <w:szCs w:val="24"/>
          <w:lang w:val="id-ID"/>
        </w:rPr>
        <w:t>Sukuk</w:t>
      </w:r>
      <w:r w:rsidRPr="008B1AE6">
        <w:rPr>
          <w:rFonts w:asciiTheme="majorBidi" w:hAnsiTheme="majorBidi" w:cstheme="majorBidi"/>
          <w:sz w:val="24"/>
          <w:szCs w:val="24"/>
          <w:lang w:val="id-ID"/>
        </w:rPr>
        <w:t xml:space="preserve"> subordinasi mu</w:t>
      </w:r>
      <w:r w:rsidR="00BC15B8">
        <w:rPr>
          <w:rFonts w:asciiTheme="majorBidi" w:hAnsiTheme="majorBidi" w:cstheme="majorBidi"/>
          <w:sz w:val="24"/>
          <w:szCs w:val="24"/>
          <w:lang w:val="id-ID"/>
        </w:rPr>
        <w:t>dharabah berkelanjutan I</w:t>
      </w:r>
      <w:r w:rsidR="007154CD">
        <w:rPr>
          <w:rFonts w:asciiTheme="majorBidi" w:hAnsiTheme="majorBidi" w:cstheme="majorBidi"/>
          <w:sz w:val="24"/>
          <w:szCs w:val="24"/>
          <w:lang w:val="id-ID"/>
        </w:rPr>
        <w:t xml:space="preserve"> tahap I</w:t>
      </w:r>
      <w:r w:rsidR="00D765D1">
        <w:rPr>
          <w:rFonts w:asciiTheme="majorBidi" w:hAnsiTheme="majorBidi" w:cstheme="majorBidi"/>
          <w:sz w:val="24"/>
          <w:szCs w:val="24"/>
          <w:lang w:val="id-ID"/>
        </w:rPr>
        <w:t xml:space="preserve"> sebesar Rp8</w:t>
      </w:r>
      <w:r w:rsidRPr="008B1AE6">
        <w:rPr>
          <w:rFonts w:asciiTheme="majorBidi" w:hAnsiTheme="majorBidi" w:cstheme="majorBidi"/>
          <w:sz w:val="24"/>
          <w:szCs w:val="24"/>
          <w:lang w:val="id-ID"/>
        </w:rPr>
        <w:t xml:space="preserve">00 miliar tahun 2012 </w:t>
      </w:r>
      <w:r w:rsidR="00BC15B8">
        <w:rPr>
          <w:rFonts w:asciiTheme="majorBidi" w:hAnsiTheme="majorBidi" w:cstheme="majorBidi"/>
          <w:sz w:val="24"/>
          <w:szCs w:val="24"/>
          <w:lang w:val="id-ID"/>
        </w:rPr>
        <w:t xml:space="preserve">dengan </w:t>
      </w:r>
      <w:r w:rsidR="00BC15B8">
        <w:rPr>
          <w:rFonts w:asciiTheme="majorBidi" w:hAnsiTheme="majorBidi" w:cstheme="majorBidi"/>
          <w:i/>
          <w:iCs/>
          <w:sz w:val="24"/>
          <w:szCs w:val="24"/>
          <w:lang w:val="id-ID"/>
        </w:rPr>
        <w:t xml:space="preserve">nisbah </w:t>
      </w:r>
      <w:r w:rsidR="00BC15B8">
        <w:rPr>
          <w:rFonts w:asciiTheme="majorBidi" w:hAnsiTheme="majorBidi" w:cstheme="majorBidi"/>
          <w:sz w:val="24"/>
          <w:szCs w:val="24"/>
          <w:lang w:val="id-ID"/>
        </w:rPr>
        <w:t xml:space="preserve">bagi hasil sebesar 17.12% </w:t>
      </w:r>
      <w:r w:rsidRPr="008B1AE6">
        <w:rPr>
          <w:rFonts w:asciiTheme="majorBidi" w:hAnsiTheme="majorBidi" w:cstheme="majorBidi"/>
          <w:sz w:val="24"/>
          <w:szCs w:val="24"/>
          <w:lang w:val="id-ID"/>
        </w:rPr>
        <w:t xml:space="preserve">dan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Pr="008B1AE6">
        <w:rPr>
          <w:rFonts w:asciiTheme="majorBidi" w:hAnsiTheme="majorBidi" w:cstheme="majorBidi"/>
          <w:sz w:val="24"/>
          <w:szCs w:val="24"/>
          <w:lang w:val="id-ID"/>
        </w:rPr>
        <w:t xml:space="preserve"> subordinasi mu</w:t>
      </w:r>
      <w:r w:rsidR="00BC15B8">
        <w:rPr>
          <w:rFonts w:asciiTheme="majorBidi" w:hAnsiTheme="majorBidi" w:cstheme="majorBidi"/>
          <w:sz w:val="24"/>
          <w:szCs w:val="24"/>
          <w:lang w:val="id-ID"/>
        </w:rPr>
        <w:t>dharabah berkelanjutan I</w:t>
      </w:r>
      <w:r w:rsidR="007154CD">
        <w:rPr>
          <w:rFonts w:asciiTheme="majorBidi" w:hAnsiTheme="majorBidi" w:cstheme="majorBidi"/>
          <w:sz w:val="24"/>
          <w:szCs w:val="24"/>
          <w:lang w:val="id-ID"/>
        </w:rPr>
        <w:t xml:space="preserve"> tahap II</w:t>
      </w:r>
      <w:r w:rsidR="00D765D1">
        <w:rPr>
          <w:rFonts w:asciiTheme="majorBidi" w:hAnsiTheme="majorBidi" w:cstheme="majorBidi"/>
          <w:sz w:val="24"/>
          <w:szCs w:val="24"/>
          <w:lang w:val="id-ID"/>
        </w:rPr>
        <w:t xml:space="preserve"> sebesar Rp7</w:t>
      </w:r>
      <w:r w:rsidRPr="008B1AE6">
        <w:rPr>
          <w:rFonts w:asciiTheme="majorBidi" w:hAnsiTheme="majorBidi" w:cstheme="majorBidi"/>
          <w:sz w:val="24"/>
          <w:szCs w:val="24"/>
          <w:lang w:val="id-ID"/>
        </w:rPr>
        <w:t>00 miliar pada tahun 2013</w:t>
      </w:r>
      <w:r w:rsidR="00BC15B8">
        <w:rPr>
          <w:rFonts w:asciiTheme="majorBidi" w:hAnsiTheme="majorBidi" w:cstheme="majorBidi"/>
          <w:sz w:val="24"/>
          <w:szCs w:val="24"/>
          <w:lang w:val="id-ID"/>
        </w:rPr>
        <w:t xml:space="preserve"> dengan </w:t>
      </w:r>
      <w:r w:rsidR="00BC15B8">
        <w:rPr>
          <w:rFonts w:asciiTheme="majorBidi" w:hAnsiTheme="majorBidi" w:cstheme="majorBidi"/>
          <w:i/>
          <w:iCs/>
          <w:sz w:val="24"/>
          <w:szCs w:val="24"/>
          <w:lang w:val="id-ID"/>
        </w:rPr>
        <w:t xml:space="preserve">nisbah </w:t>
      </w:r>
      <w:r w:rsidR="00BC15B8">
        <w:rPr>
          <w:rFonts w:asciiTheme="majorBidi" w:hAnsiTheme="majorBidi" w:cstheme="majorBidi"/>
          <w:sz w:val="24"/>
          <w:szCs w:val="24"/>
          <w:lang w:val="id-ID"/>
        </w:rPr>
        <w:t>bagi hasil yang ditawarkan sebesar 15.79%</w:t>
      </w:r>
      <w:r w:rsidRPr="008B1AE6">
        <w:rPr>
          <w:rFonts w:asciiTheme="majorBidi" w:hAnsiTheme="majorBidi" w:cstheme="majorBidi"/>
          <w:sz w:val="24"/>
          <w:szCs w:val="24"/>
          <w:lang w:val="id-ID"/>
        </w:rPr>
        <w:t xml:space="preserve">. </w:t>
      </w:r>
    </w:p>
    <w:p w:rsidR="00F07E61" w:rsidRPr="00ED7F66" w:rsidRDefault="00F07E61"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Pengukuran kinerja keuangan dilakukan untuk melihat seberapa jauh kemampuan perusahaan dalam mengelola sumber daya yang </w:t>
      </w:r>
      <w:r>
        <w:rPr>
          <w:rFonts w:asciiTheme="majorBidi" w:hAnsiTheme="majorBidi" w:cstheme="majorBidi"/>
          <w:sz w:val="24"/>
          <w:szCs w:val="24"/>
          <w:lang w:val="id-ID"/>
        </w:rPr>
        <w:lastRenderedPageBreak/>
        <w:t xml:space="preserve">dimilki untuk mrnghasilkan laba perusahaan. Selain itu juga digunakan untuk mengevaluasi kinerja manajemen. Kinerja emiten yang bagus dalam menghasilkan pendapatan akan memberikan harapan yang bagus untuk menerima tingkat bagi hasil yang </w:t>
      </w:r>
      <w:r w:rsidR="00ED7F66">
        <w:rPr>
          <w:rFonts w:asciiTheme="majorBidi" w:hAnsiTheme="majorBidi" w:cstheme="majorBidi"/>
          <w:sz w:val="24"/>
          <w:szCs w:val="24"/>
          <w:lang w:val="id-ID"/>
        </w:rPr>
        <w:t xml:space="preserve">tinggi kepada investor obligasi. Kinerja emiten dapat tercermin dari laporan keuangan dimana </w:t>
      </w:r>
      <w:r w:rsidR="00F22BF6">
        <w:rPr>
          <w:rFonts w:asciiTheme="majorBidi" w:hAnsiTheme="majorBidi" w:cstheme="majorBidi"/>
          <w:i/>
          <w:iCs/>
          <w:sz w:val="24"/>
          <w:szCs w:val="24"/>
          <w:lang w:val="id-ID"/>
        </w:rPr>
        <w:t>Return On Asset</w:t>
      </w:r>
      <w:r w:rsidR="00F22BF6">
        <w:rPr>
          <w:rFonts w:asciiTheme="majorBidi" w:hAnsiTheme="majorBidi" w:cstheme="majorBidi"/>
          <w:sz w:val="24"/>
          <w:szCs w:val="24"/>
          <w:lang w:val="id-ID"/>
        </w:rPr>
        <w:t xml:space="preserve"> (</w:t>
      </w:r>
      <w:r w:rsidR="00ED7F66">
        <w:rPr>
          <w:rFonts w:asciiTheme="majorBidi" w:hAnsiTheme="majorBidi" w:cstheme="majorBidi"/>
          <w:sz w:val="24"/>
          <w:szCs w:val="24"/>
          <w:lang w:val="id-ID"/>
        </w:rPr>
        <w:t>ROA</w:t>
      </w:r>
      <w:r w:rsidR="00F22BF6">
        <w:rPr>
          <w:rFonts w:asciiTheme="majorBidi" w:hAnsiTheme="majorBidi" w:cstheme="majorBidi"/>
          <w:sz w:val="24"/>
          <w:szCs w:val="24"/>
          <w:lang w:val="id-ID"/>
        </w:rPr>
        <w:t>)</w:t>
      </w:r>
      <w:r w:rsidR="00ED7F66">
        <w:rPr>
          <w:rFonts w:asciiTheme="majorBidi" w:hAnsiTheme="majorBidi" w:cstheme="majorBidi"/>
          <w:sz w:val="24"/>
          <w:szCs w:val="24"/>
          <w:lang w:val="id-ID"/>
        </w:rPr>
        <w:t xml:space="preserve"> adalah salah satu indikator yang mencerminkan kinerja perusahaan penerbit obligasi. </w:t>
      </w:r>
      <w:r w:rsidR="00F22BF6">
        <w:rPr>
          <w:rFonts w:asciiTheme="majorBidi" w:hAnsiTheme="majorBidi" w:cstheme="majorBidi"/>
          <w:i/>
          <w:iCs/>
          <w:sz w:val="24"/>
          <w:szCs w:val="24"/>
          <w:lang w:val="id-ID"/>
        </w:rPr>
        <w:t>Return O</w:t>
      </w:r>
      <w:r w:rsidR="00ED7F66">
        <w:rPr>
          <w:rFonts w:asciiTheme="majorBidi" w:hAnsiTheme="majorBidi" w:cstheme="majorBidi"/>
          <w:i/>
          <w:iCs/>
          <w:sz w:val="24"/>
          <w:szCs w:val="24"/>
          <w:lang w:val="id-ID"/>
        </w:rPr>
        <w:t xml:space="preserve">n Asset </w:t>
      </w:r>
      <w:r w:rsidR="00ED7F66">
        <w:rPr>
          <w:rFonts w:asciiTheme="majorBidi" w:hAnsiTheme="majorBidi" w:cstheme="majorBidi"/>
          <w:sz w:val="24"/>
          <w:szCs w:val="24"/>
          <w:lang w:val="id-ID"/>
        </w:rPr>
        <w:t>mencerminkan tingkat bagi hasil yang dicapai setelah melakukan eksplorasi terhadap seluruh potensi kekayaan yang ada.</w:t>
      </w:r>
      <w:r w:rsidR="00ED7F66">
        <w:rPr>
          <w:rStyle w:val="FootnoteReference"/>
          <w:rFonts w:asciiTheme="majorBidi" w:hAnsiTheme="majorBidi" w:cstheme="majorBidi"/>
          <w:sz w:val="24"/>
          <w:szCs w:val="24"/>
          <w:lang w:val="id-ID"/>
        </w:rPr>
        <w:footnoteReference w:id="9"/>
      </w:r>
      <w:r w:rsidR="00ED7F66">
        <w:rPr>
          <w:rFonts w:asciiTheme="majorBidi" w:hAnsiTheme="majorBidi" w:cstheme="majorBidi"/>
          <w:sz w:val="24"/>
          <w:szCs w:val="24"/>
          <w:lang w:val="id-ID"/>
        </w:rPr>
        <w:t xml:space="preserve"> </w:t>
      </w:r>
    </w:p>
    <w:p w:rsidR="00E32448" w:rsidRDefault="00F22BF6"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Return O</w:t>
      </w:r>
      <w:r w:rsidR="007C33F6">
        <w:rPr>
          <w:rFonts w:asciiTheme="majorBidi" w:hAnsiTheme="majorBidi" w:cstheme="majorBidi"/>
          <w:i/>
          <w:iCs/>
          <w:sz w:val="24"/>
          <w:szCs w:val="24"/>
          <w:lang w:val="id-ID"/>
        </w:rPr>
        <w:t xml:space="preserve">n Assets </w:t>
      </w:r>
      <w:r w:rsidR="007C33F6">
        <w:rPr>
          <w:rFonts w:asciiTheme="majorBidi" w:hAnsiTheme="majorBidi" w:cstheme="majorBidi"/>
          <w:sz w:val="24"/>
          <w:szCs w:val="24"/>
          <w:lang w:val="id-ID"/>
        </w:rPr>
        <w:t>(ROA) merupakan rasio per</w:t>
      </w:r>
      <w:r w:rsidR="000806CA">
        <w:rPr>
          <w:rFonts w:asciiTheme="majorBidi" w:hAnsiTheme="majorBidi" w:cstheme="majorBidi"/>
          <w:sz w:val="24"/>
          <w:szCs w:val="24"/>
          <w:lang w:val="id-ID"/>
        </w:rPr>
        <w:t>b</w:t>
      </w:r>
      <w:r w:rsidR="007C33F6">
        <w:rPr>
          <w:rFonts w:asciiTheme="majorBidi" w:hAnsiTheme="majorBidi" w:cstheme="majorBidi"/>
          <w:sz w:val="24"/>
          <w:szCs w:val="24"/>
          <w:lang w:val="id-ID"/>
        </w:rPr>
        <w:t>andingan antara laba sebelum pajak dengan total aset. Rasio ini digunakan untuk mengukur kemampuan bank dalam memperoleh keuntungan secara keseluruhan.</w:t>
      </w:r>
      <w:r w:rsidR="007C33F6">
        <w:rPr>
          <w:rStyle w:val="FootnoteReference"/>
          <w:rFonts w:asciiTheme="majorBidi" w:hAnsiTheme="majorBidi" w:cstheme="majorBidi"/>
          <w:sz w:val="24"/>
          <w:szCs w:val="24"/>
          <w:lang w:val="id-ID"/>
        </w:rPr>
        <w:footnoteReference w:id="10"/>
      </w:r>
      <w:r w:rsidR="007C33F6">
        <w:rPr>
          <w:rFonts w:asciiTheme="majorBidi" w:hAnsiTheme="majorBidi" w:cstheme="majorBidi"/>
          <w:sz w:val="24"/>
          <w:szCs w:val="24"/>
          <w:lang w:val="id-ID"/>
        </w:rPr>
        <w:t xml:space="preserve"> </w:t>
      </w:r>
    </w:p>
    <w:p w:rsidR="0087311F" w:rsidRPr="006624F2" w:rsidRDefault="00C56948" w:rsidP="00CD3EE9">
      <w:pPr>
        <w:spacing w:before="40" w:after="40" w:line="480" w:lineRule="auto"/>
        <w:jc w:val="center"/>
        <w:rPr>
          <w:rFonts w:asciiTheme="majorBidi" w:hAnsiTheme="majorBidi" w:cstheme="majorBidi"/>
          <w:b/>
          <w:bCs/>
          <w:sz w:val="24"/>
          <w:szCs w:val="24"/>
          <w:lang w:val="id-ID"/>
        </w:rPr>
      </w:pPr>
      <w:r w:rsidRPr="006624F2">
        <w:rPr>
          <w:rFonts w:asciiTheme="majorBidi" w:hAnsiTheme="majorBidi" w:cstheme="majorBidi"/>
          <w:b/>
          <w:bCs/>
          <w:sz w:val="24"/>
          <w:szCs w:val="24"/>
          <w:lang w:val="id-ID"/>
        </w:rPr>
        <w:t>Tabel 1.1</w:t>
      </w:r>
    </w:p>
    <w:p w:rsidR="00C56948" w:rsidRPr="006624F2" w:rsidRDefault="00C56948" w:rsidP="00CD3EE9">
      <w:pPr>
        <w:spacing w:before="40" w:after="40" w:line="480" w:lineRule="auto"/>
        <w:jc w:val="center"/>
        <w:rPr>
          <w:rFonts w:asciiTheme="majorBidi" w:hAnsiTheme="majorBidi" w:cstheme="majorBidi"/>
          <w:b/>
          <w:bCs/>
          <w:sz w:val="24"/>
          <w:szCs w:val="24"/>
          <w:lang w:val="id-ID"/>
        </w:rPr>
      </w:pPr>
      <w:r w:rsidRPr="006624F2">
        <w:rPr>
          <w:rFonts w:asciiTheme="majorBidi" w:hAnsiTheme="majorBidi" w:cstheme="majorBidi"/>
          <w:b/>
          <w:bCs/>
          <w:sz w:val="24"/>
          <w:szCs w:val="24"/>
          <w:lang w:val="id-ID"/>
        </w:rPr>
        <w:t>Perke</w:t>
      </w:r>
      <w:r w:rsidR="00D765D1">
        <w:rPr>
          <w:rFonts w:asciiTheme="majorBidi" w:hAnsiTheme="majorBidi" w:cstheme="majorBidi"/>
          <w:b/>
          <w:bCs/>
          <w:sz w:val="24"/>
          <w:szCs w:val="24"/>
          <w:lang w:val="id-ID"/>
        </w:rPr>
        <w:t>mbangan ROA periode 2012-2017</w:t>
      </w:r>
    </w:p>
    <w:tbl>
      <w:tblPr>
        <w:tblW w:w="538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488"/>
        <w:gridCol w:w="1628"/>
      </w:tblGrid>
      <w:tr w:rsidR="000806CA" w:rsidRPr="000806CA" w:rsidTr="00CD3EE9">
        <w:trPr>
          <w:trHeight w:val="262"/>
          <w:jc w:val="center"/>
        </w:trPr>
        <w:tc>
          <w:tcPr>
            <w:tcW w:w="2271" w:type="dxa"/>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b/>
                <w:bCs/>
              </w:rPr>
            </w:pPr>
            <w:proofErr w:type="spellStart"/>
            <w:r w:rsidRPr="003022EB">
              <w:rPr>
                <w:rFonts w:asciiTheme="majorBidi" w:eastAsia="Times New Roman" w:hAnsiTheme="majorBidi" w:cstheme="majorBidi"/>
                <w:b/>
                <w:bCs/>
              </w:rPr>
              <w:t>Tahun</w:t>
            </w:r>
            <w:proofErr w:type="spellEnd"/>
          </w:p>
        </w:tc>
        <w:tc>
          <w:tcPr>
            <w:tcW w:w="1488" w:type="dxa"/>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b/>
                <w:bCs/>
              </w:rPr>
            </w:pPr>
            <w:proofErr w:type="spellStart"/>
            <w:r w:rsidRPr="003022EB">
              <w:rPr>
                <w:rFonts w:asciiTheme="majorBidi" w:eastAsia="Times New Roman" w:hAnsiTheme="majorBidi" w:cstheme="majorBidi"/>
                <w:b/>
                <w:bCs/>
              </w:rPr>
              <w:t>Triwulan</w:t>
            </w:r>
            <w:proofErr w:type="spellEnd"/>
          </w:p>
        </w:tc>
        <w:tc>
          <w:tcPr>
            <w:tcW w:w="1628" w:type="dxa"/>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b/>
                <w:bCs/>
                <w:lang w:val="id-ID"/>
              </w:rPr>
            </w:pPr>
            <w:r w:rsidRPr="003022EB">
              <w:rPr>
                <w:rFonts w:asciiTheme="majorBidi" w:eastAsia="Times New Roman" w:hAnsiTheme="majorBidi" w:cstheme="majorBidi"/>
                <w:b/>
                <w:bCs/>
              </w:rPr>
              <w:t xml:space="preserve">ROA </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t>2012</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1.61</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1.62</w:t>
            </w:r>
            <w:r w:rsidR="000B6D3E">
              <w:rPr>
                <w:rFonts w:asciiTheme="majorBidi" w:eastAsia="Times New Roman" w:hAnsiTheme="majorBidi" w:cstheme="majorBidi"/>
                <w:color w:val="000000"/>
                <w:lang w:val="id-ID"/>
              </w:rPr>
              <w:t>%</w:t>
            </w:r>
          </w:p>
        </w:tc>
      </w:tr>
      <w:tr w:rsidR="000806CA" w:rsidRPr="000806CA" w:rsidTr="00CD3EE9">
        <w:trPr>
          <w:trHeight w:val="275"/>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4</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1.54</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lastRenderedPageBreak/>
              <w:t>2013</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1</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1.72</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1.66</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1.68</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4</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1.37</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t>2014</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1</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1.44</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1.03</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0.10</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4</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0.17</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t>2015</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1</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0.62</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0.51</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0.36</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4</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0.20</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t>2016</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1</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0.25</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2.10</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0.13</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4</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0.22</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restart"/>
            <w:shd w:val="clear" w:color="auto" w:fill="auto"/>
            <w:noWrap/>
            <w:vAlign w:val="center"/>
            <w:hideMark/>
          </w:tcPr>
          <w:p w:rsidR="000806CA" w:rsidRPr="003022EB" w:rsidRDefault="000806CA" w:rsidP="00CD3EE9">
            <w:pPr>
              <w:spacing w:before="40" w:after="40" w:line="240" w:lineRule="auto"/>
              <w:jc w:val="center"/>
              <w:rPr>
                <w:rFonts w:asciiTheme="majorBidi" w:eastAsia="Times New Roman" w:hAnsiTheme="majorBidi" w:cstheme="majorBidi"/>
              </w:rPr>
            </w:pPr>
            <w:r w:rsidRPr="003022EB">
              <w:rPr>
                <w:rFonts w:asciiTheme="majorBidi" w:eastAsia="Times New Roman" w:hAnsiTheme="majorBidi" w:cstheme="majorBidi"/>
              </w:rPr>
              <w:t>2017</w:t>
            </w: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1</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0.12</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color w:val="00B050"/>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2</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2.25</w:t>
            </w:r>
            <w:r w:rsidR="000B6D3E">
              <w:rPr>
                <w:rFonts w:asciiTheme="majorBidi" w:eastAsia="Times New Roman" w:hAnsiTheme="majorBidi" w:cstheme="majorBidi"/>
                <w:color w:val="000000"/>
                <w:lang w:val="id-ID"/>
              </w:rPr>
              <w:t>%</w:t>
            </w:r>
          </w:p>
        </w:tc>
      </w:tr>
      <w:tr w:rsidR="000806CA" w:rsidRPr="000806CA" w:rsidTr="00CD3EE9">
        <w:trPr>
          <w:trHeight w:val="262"/>
          <w:jc w:val="center"/>
        </w:trPr>
        <w:tc>
          <w:tcPr>
            <w:tcW w:w="2271" w:type="dxa"/>
            <w:vMerge/>
            <w:vAlign w:val="center"/>
            <w:hideMark/>
          </w:tcPr>
          <w:p w:rsidR="000806CA" w:rsidRPr="003022EB" w:rsidRDefault="000806CA" w:rsidP="00CD3EE9">
            <w:pPr>
              <w:spacing w:before="40" w:after="40" w:line="240" w:lineRule="auto"/>
              <w:jc w:val="center"/>
              <w:rPr>
                <w:rFonts w:asciiTheme="majorBidi" w:eastAsia="Times New Roman" w:hAnsiTheme="majorBidi" w:cstheme="majorBidi"/>
                <w:color w:val="00B050"/>
              </w:rPr>
            </w:pPr>
          </w:p>
        </w:tc>
        <w:tc>
          <w:tcPr>
            <w:tcW w:w="1488" w:type="dxa"/>
            <w:shd w:val="clear" w:color="auto" w:fill="auto"/>
            <w:noWrap/>
            <w:vAlign w:val="center"/>
            <w:hideMark/>
          </w:tcPr>
          <w:p w:rsidR="000806CA" w:rsidRPr="000806CA" w:rsidRDefault="000806CA" w:rsidP="00CD3EE9">
            <w:pPr>
              <w:spacing w:before="40" w:after="40" w:line="240" w:lineRule="auto"/>
              <w:jc w:val="center"/>
              <w:rPr>
                <w:rFonts w:asciiTheme="majorBidi" w:eastAsia="Times New Roman" w:hAnsiTheme="majorBidi" w:cstheme="majorBidi"/>
                <w:color w:val="000000"/>
              </w:rPr>
            </w:pPr>
            <w:r w:rsidRPr="000806CA">
              <w:rPr>
                <w:rFonts w:asciiTheme="majorBidi" w:eastAsia="Times New Roman" w:hAnsiTheme="majorBidi" w:cstheme="majorBidi"/>
                <w:color w:val="000000"/>
              </w:rPr>
              <w:t>3</w:t>
            </w:r>
          </w:p>
        </w:tc>
        <w:tc>
          <w:tcPr>
            <w:tcW w:w="1628" w:type="dxa"/>
            <w:shd w:val="clear" w:color="auto" w:fill="auto"/>
            <w:noWrap/>
            <w:vAlign w:val="center"/>
            <w:hideMark/>
          </w:tcPr>
          <w:p w:rsidR="000806CA" w:rsidRPr="000B6D3E" w:rsidRDefault="000806CA" w:rsidP="00CD3EE9">
            <w:pPr>
              <w:spacing w:before="40" w:after="40" w:line="240" w:lineRule="auto"/>
              <w:jc w:val="center"/>
              <w:rPr>
                <w:rFonts w:asciiTheme="majorBidi" w:eastAsia="Times New Roman" w:hAnsiTheme="majorBidi" w:cstheme="majorBidi"/>
                <w:color w:val="000000"/>
                <w:lang w:val="id-ID"/>
              </w:rPr>
            </w:pPr>
            <w:r w:rsidRPr="000806CA">
              <w:rPr>
                <w:rFonts w:asciiTheme="majorBidi" w:eastAsia="Times New Roman" w:hAnsiTheme="majorBidi" w:cstheme="majorBidi"/>
                <w:color w:val="000000"/>
              </w:rPr>
              <w:t>0.11</w:t>
            </w:r>
            <w:r w:rsidR="000B6D3E">
              <w:rPr>
                <w:rFonts w:asciiTheme="majorBidi" w:eastAsia="Times New Roman" w:hAnsiTheme="majorBidi" w:cstheme="majorBidi"/>
                <w:color w:val="000000"/>
                <w:lang w:val="id-ID"/>
              </w:rPr>
              <w:t>%</w:t>
            </w:r>
          </w:p>
        </w:tc>
      </w:tr>
    </w:tbl>
    <w:p w:rsidR="00ED7F66" w:rsidRPr="00683FF1" w:rsidRDefault="009F7E43" w:rsidP="00CD3EE9">
      <w:pPr>
        <w:spacing w:before="40" w:after="40" w:line="480" w:lineRule="auto"/>
        <w:ind w:firstLine="720"/>
        <w:jc w:val="both"/>
        <w:rPr>
          <w:rFonts w:asciiTheme="majorBidi" w:hAnsiTheme="majorBidi" w:cstheme="majorBidi"/>
          <w:sz w:val="24"/>
          <w:szCs w:val="24"/>
          <w:lang w:val="id-ID"/>
        </w:rPr>
      </w:pPr>
      <w:r w:rsidRPr="00683FF1">
        <w:rPr>
          <w:rFonts w:asciiTheme="majorBidi" w:hAnsiTheme="majorBidi" w:cstheme="majorBidi"/>
          <w:sz w:val="24"/>
          <w:szCs w:val="24"/>
          <w:lang w:val="id-ID"/>
        </w:rPr>
        <w:tab/>
      </w:r>
      <w:r w:rsidR="00B55D6D">
        <w:rPr>
          <w:rFonts w:asciiTheme="majorBidi" w:hAnsiTheme="majorBidi" w:cstheme="majorBidi"/>
          <w:sz w:val="24"/>
          <w:szCs w:val="24"/>
          <w:lang w:val="id-ID"/>
        </w:rPr>
        <w:t xml:space="preserve"> </w:t>
      </w:r>
      <w:r w:rsidRPr="00683FF1">
        <w:rPr>
          <w:rFonts w:asciiTheme="majorBidi" w:hAnsiTheme="majorBidi" w:cstheme="majorBidi"/>
          <w:sz w:val="24"/>
          <w:szCs w:val="24"/>
          <w:lang w:val="id-ID"/>
        </w:rPr>
        <w:t>Sumber: www.ojk.go.id</w:t>
      </w:r>
    </w:p>
    <w:p w:rsidR="00F07E61" w:rsidRDefault="008B1AE6" w:rsidP="00CD3EE9">
      <w:pPr>
        <w:spacing w:before="40" w:after="40" w:line="480" w:lineRule="auto"/>
        <w:ind w:firstLine="360"/>
        <w:jc w:val="both"/>
        <w:rPr>
          <w:rFonts w:asciiTheme="majorBidi" w:hAnsiTheme="majorBidi" w:cstheme="majorBidi"/>
          <w:sz w:val="24"/>
          <w:szCs w:val="24"/>
          <w:lang w:val="id-ID"/>
        </w:rPr>
      </w:pPr>
      <w:r w:rsidRPr="00DD562B">
        <w:rPr>
          <w:rFonts w:asciiTheme="majorBidi" w:hAnsiTheme="majorBidi" w:cstheme="majorBidi"/>
          <w:color w:val="FF0000"/>
          <w:sz w:val="24"/>
          <w:szCs w:val="24"/>
          <w:lang w:val="id-ID"/>
        </w:rPr>
        <w:tab/>
      </w:r>
      <w:r w:rsidRPr="00B92F08">
        <w:rPr>
          <w:rFonts w:asciiTheme="majorBidi" w:hAnsiTheme="majorBidi" w:cstheme="majorBidi"/>
          <w:sz w:val="24"/>
          <w:szCs w:val="24"/>
          <w:lang w:val="id-ID"/>
        </w:rPr>
        <w:t xml:space="preserve">Data </w:t>
      </w:r>
      <w:r w:rsidR="00CD3EE9">
        <w:rPr>
          <w:rFonts w:asciiTheme="majorBidi" w:hAnsiTheme="majorBidi" w:cstheme="majorBidi"/>
          <w:sz w:val="24"/>
          <w:szCs w:val="24"/>
          <w:lang w:val="id-ID"/>
        </w:rPr>
        <w:t xml:space="preserve">pada tabel 1.1 </w:t>
      </w:r>
      <w:r w:rsidRPr="00B92F08">
        <w:rPr>
          <w:rFonts w:asciiTheme="majorBidi" w:hAnsiTheme="majorBidi" w:cstheme="majorBidi"/>
          <w:sz w:val="24"/>
          <w:szCs w:val="24"/>
          <w:lang w:val="id-ID"/>
        </w:rPr>
        <w:t xml:space="preserve">menunjukan bahwa persentase rasio </w:t>
      </w:r>
      <w:r w:rsidR="007E4D7B">
        <w:rPr>
          <w:rFonts w:asciiTheme="majorBidi" w:hAnsiTheme="majorBidi" w:cstheme="majorBidi"/>
          <w:sz w:val="24"/>
          <w:szCs w:val="24"/>
          <w:lang w:val="id-ID"/>
        </w:rPr>
        <w:t xml:space="preserve">profitabilitas yang diwakili oleh </w:t>
      </w:r>
      <w:r w:rsidR="00F22BF6">
        <w:rPr>
          <w:rFonts w:asciiTheme="majorBidi" w:hAnsiTheme="majorBidi" w:cstheme="majorBidi"/>
          <w:i/>
          <w:iCs/>
          <w:sz w:val="24"/>
          <w:szCs w:val="24"/>
          <w:lang w:val="id-ID"/>
        </w:rPr>
        <w:t>Return O</w:t>
      </w:r>
      <w:r w:rsidR="007E4D7B">
        <w:rPr>
          <w:rFonts w:asciiTheme="majorBidi" w:hAnsiTheme="majorBidi" w:cstheme="majorBidi"/>
          <w:i/>
          <w:iCs/>
          <w:sz w:val="24"/>
          <w:szCs w:val="24"/>
          <w:lang w:val="id-ID"/>
        </w:rPr>
        <w:t xml:space="preserve">n Assets </w:t>
      </w:r>
      <w:r w:rsidR="007E4D7B">
        <w:rPr>
          <w:rFonts w:asciiTheme="majorBidi" w:hAnsiTheme="majorBidi" w:cstheme="majorBidi"/>
          <w:sz w:val="24"/>
          <w:szCs w:val="24"/>
          <w:lang w:val="id-ID"/>
        </w:rPr>
        <w:t xml:space="preserve">(ROA) </w:t>
      </w:r>
      <w:r w:rsidR="000806CA">
        <w:rPr>
          <w:rFonts w:asciiTheme="majorBidi" w:hAnsiTheme="majorBidi" w:cstheme="majorBidi"/>
          <w:sz w:val="24"/>
          <w:szCs w:val="24"/>
          <w:lang w:val="id-ID"/>
        </w:rPr>
        <w:t>dari</w:t>
      </w:r>
      <w:r w:rsidRPr="00B92F08">
        <w:rPr>
          <w:rFonts w:asciiTheme="majorBidi" w:hAnsiTheme="majorBidi" w:cstheme="majorBidi"/>
          <w:sz w:val="24"/>
          <w:szCs w:val="24"/>
          <w:lang w:val="id-ID"/>
        </w:rPr>
        <w:t xml:space="preserve"> tahun 2012-2017 mengal</w:t>
      </w:r>
      <w:r w:rsidR="007E4D7B">
        <w:rPr>
          <w:rFonts w:asciiTheme="majorBidi" w:hAnsiTheme="majorBidi" w:cstheme="majorBidi"/>
          <w:sz w:val="24"/>
          <w:szCs w:val="24"/>
          <w:lang w:val="id-ID"/>
        </w:rPr>
        <w:t>ami fluktuatif</w:t>
      </w:r>
      <w:r w:rsidR="00C56948">
        <w:rPr>
          <w:rFonts w:asciiTheme="majorBidi" w:hAnsiTheme="majorBidi" w:cstheme="majorBidi"/>
          <w:sz w:val="24"/>
          <w:szCs w:val="24"/>
          <w:lang w:val="id-ID"/>
        </w:rPr>
        <w:t xml:space="preserve"> dengan kecenderungan menurun. N</w:t>
      </w:r>
      <w:r w:rsidR="007E4D7B">
        <w:rPr>
          <w:rFonts w:asciiTheme="majorBidi" w:hAnsiTheme="majorBidi" w:cstheme="majorBidi"/>
          <w:sz w:val="24"/>
          <w:szCs w:val="24"/>
          <w:lang w:val="id-ID"/>
        </w:rPr>
        <w:t>ilai R</w:t>
      </w:r>
      <w:r w:rsidR="000806CA">
        <w:rPr>
          <w:rFonts w:asciiTheme="majorBidi" w:hAnsiTheme="majorBidi" w:cstheme="majorBidi"/>
          <w:sz w:val="24"/>
          <w:szCs w:val="24"/>
          <w:lang w:val="id-ID"/>
        </w:rPr>
        <w:t>OA tertinggi berada pada triwulan</w:t>
      </w:r>
      <w:r w:rsidR="007E4D7B">
        <w:rPr>
          <w:rFonts w:asciiTheme="majorBidi" w:hAnsiTheme="majorBidi" w:cstheme="majorBidi"/>
          <w:sz w:val="24"/>
          <w:szCs w:val="24"/>
          <w:lang w:val="id-ID"/>
        </w:rPr>
        <w:t xml:space="preserve"> 2 tahun 2017</w:t>
      </w:r>
      <w:r w:rsidRPr="00B92F08">
        <w:rPr>
          <w:rFonts w:asciiTheme="majorBidi" w:hAnsiTheme="majorBidi" w:cstheme="majorBidi"/>
          <w:sz w:val="24"/>
          <w:szCs w:val="24"/>
          <w:lang w:val="id-ID"/>
        </w:rPr>
        <w:t>, se</w:t>
      </w:r>
      <w:r w:rsidR="007E4D7B">
        <w:rPr>
          <w:rFonts w:asciiTheme="majorBidi" w:hAnsiTheme="majorBidi" w:cstheme="majorBidi"/>
          <w:sz w:val="24"/>
          <w:szCs w:val="24"/>
          <w:lang w:val="id-ID"/>
        </w:rPr>
        <w:t>dangkan untuk nilai t</w:t>
      </w:r>
      <w:r w:rsidR="000806CA">
        <w:rPr>
          <w:rFonts w:asciiTheme="majorBidi" w:hAnsiTheme="majorBidi" w:cstheme="majorBidi"/>
          <w:sz w:val="24"/>
          <w:szCs w:val="24"/>
          <w:lang w:val="id-ID"/>
        </w:rPr>
        <w:t>erendah ROA terjadi pada triwulan</w:t>
      </w:r>
      <w:r w:rsidR="007E4D7B">
        <w:rPr>
          <w:rFonts w:asciiTheme="majorBidi" w:hAnsiTheme="majorBidi" w:cstheme="majorBidi"/>
          <w:sz w:val="24"/>
          <w:szCs w:val="24"/>
          <w:lang w:val="id-ID"/>
        </w:rPr>
        <w:t xml:space="preserve"> 3 tahun 2014</w:t>
      </w:r>
      <w:r w:rsidRPr="00B92F08">
        <w:rPr>
          <w:rFonts w:asciiTheme="majorBidi" w:hAnsiTheme="majorBidi" w:cstheme="majorBidi"/>
          <w:sz w:val="24"/>
          <w:szCs w:val="24"/>
          <w:lang w:val="id-ID"/>
        </w:rPr>
        <w:t>.</w:t>
      </w:r>
      <w:r w:rsidR="008E4750" w:rsidRPr="008E4750">
        <w:rPr>
          <w:rFonts w:asciiTheme="majorBidi" w:hAnsiTheme="majorBidi" w:cstheme="majorBidi"/>
          <w:sz w:val="24"/>
          <w:szCs w:val="24"/>
          <w:lang w:val="id-ID"/>
        </w:rPr>
        <w:t xml:space="preserve"> </w:t>
      </w:r>
      <w:r w:rsidR="00EF5514">
        <w:rPr>
          <w:rFonts w:asciiTheme="majorBidi" w:hAnsiTheme="majorBidi" w:cstheme="majorBidi"/>
          <w:sz w:val="24"/>
          <w:szCs w:val="24"/>
          <w:lang w:val="id-ID"/>
        </w:rPr>
        <w:t>Adapun faktor-faktor yang mempengaruhi nilai ROA sendiri adalah CAR, NPF, LDR dan BOPO.</w:t>
      </w:r>
    </w:p>
    <w:p w:rsidR="00C56948" w:rsidRDefault="00F07E61" w:rsidP="00CD3EE9">
      <w:pPr>
        <w:spacing w:before="40" w:after="4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 xml:space="preserve">Secara teori, dengan menerbitkan </w:t>
      </w:r>
      <w:r w:rsidR="005E66BA">
        <w:rPr>
          <w:rFonts w:asciiTheme="majorBidi" w:hAnsiTheme="majorBidi" w:cstheme="majorBidi"/>
          <w:sz w:val="24"/>
          <w:szCs w:val="24"/>
          <w:lang w:val="id-ID"/>
        </w:rPr>
        <w:t>obligasi syariah</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sukuk</w:t>
      </w:r>
      <w:r>
        <w:rPr>
          <w:rFonts w:asciiTheme="majorBidi" w:hAnsiTheme="majorBidi" w:cstheme="majorBidi"/>
          <w:sz w:val="24"/>
          <w:szCs w:val="24"/>
          <w:lang w:val="id-ID"/>
        </w:rPr>
        <w:t xml:space="preserve">) </w:t>
      </w:r>
      <w:r w:rsidR="000806CA">
        <w:rPr>
          <w:rFonts w:asciiTheme="majorBidi" w:hAnsiTheme="majorBidi" w:cstheme="majorBidi"/>
          <w:sz w:val="24"/>
          <w:szCs w:val="24"/>
          <w:lang w:val="id-ID"/>
        </w:rPr>
        <w:t>suatu perus</w:t>
      </w:r>
      <w:r w:rsidR="00B6001A">
        <w:rPr>
          <w:rFonts w:asciiTheme="majorBidi" w:hAnsiTheme="majorBidi" w:cstheme="majorBidi"/>
          <w:sz w:val="24"/>
          <w:szCs w:val="24"/>
          <w:lang w:val="id-ID"/>
        </w:rPr>
        <w:t>a</w:t>
      </w:r>
      <w:r w:rsidR="000806CA">
        <w:rPr>
          <w:rFonts w:asciiTheme="majorBidi" w:hAnsiTheme="majorBidi" w:cstheme="majorBidi"/>
          <w:sz w:val="24"/>
          <w:szCs w:val="24"/>
          <w:lang w:val="id-ID"/>
        </w:rPr>
        <w:t>haan akan mendapatkan keuntungan, atau keuntungan perusahaan yang didapat meni</w:t>
      </w:r>
      <w:r w:rsidR="00B6001A">
        <w:rPr>
          <w:rFonts w:asciiTheme="majorBidi" w:hAnsiTheme="majorBidi" w:cstheme="majorBidi"/>
          <w:sz w:val="24"/>
          <w:szCs w:val="24"/>
          <w:lang w:val="id-ID"/>
        </w:rPr>
        <w:t xml:space="preserve">ngkat, akan tetapi kenyataannya </w:t>
      </w:r>
      <w:r w:rsidR="000806CA">
        <w:rPr>
          <w:rFonts w:asciiTheme="majorBidi" w:hAnsiTheme="majorBidi" w:cstheme="majorBidi"/>
          <w:sz w:val="24"/>
          <w:szCs w:val="24"/>
          <w:lang w:val="id-ID"/>
        </w:rPr>
        <w:t>berbeda</w:t>
      </w:r>
      <w:r w:rsidR="00B6001A">
        <w:rPr>
          <w:rFonts w:asciiTheme="majorBidi" w:hAnsiTheme="majorBidi" w:cstheme="majorBidi"/>
          <w:sz w:val="24"/>
          <w:szCs w:val="24"/>
          <w:lang w:val="id-ID"/>
        </w:rPr>
        <w:t>.</w:t>
      </w:r>
      <w:r w:rsidR="00C56948">
        <w:rPr>
          <w:rFonts w:asciiTheme="majorBidi" w:hAnsiTheme="majorBidi" w:cstheme="majorBidi"/>
          <w:sz w:val="24"/>
          <w:szCs w:val="24"/>
          <w:lang w:val="id-ID"/>
        </w:rPr>
        <w:t xml:space="preserve"> T</w:t>
      </w:r>
      <w:r w:rsidR="00E32F6B" w:rsidRPr="00B11752">
        <w:rPr>
          <w:rFonts w:asciiTheme="majorBidi" w:hAnsiTheme="majorBidi" w:cstheme="majorBidi"/>
          <w:sz w:val="24"/>
          <w:szCs w:val="24"/>
          <w:lang w:val="id-ID"/>
        </w:rPr>
        <w:t xml:space="preserve">erjadinya fluktuasi nilai </w:t>
      </w:r>
      <w:r w:rsidR="00E066BD" w:rsidRPr="00B11752">
        <w:rPr>
          <w:rFonts w:asciiTheme="majorBidi" w:hAnsiTheme="majorBidi" w:cstheme="majorBidi"/>
          <w:sz w:val="24"/>
          <w:szCs w:val="24"/>
          <w:lang w:val="id-ID"/>
        </w:rPr>
        <w:t xml:space="preserve">pada </w:t>
      </w:r>
      <w:r w:rsidR="008B5BF2">
        <w:rPr>
          <w:rFonts w:asciiTheme="majorBidi" w:hAnsiTheme="majorBidi" w:cstheme="majorBidi"/>
          <w:sz w:val="24"/>
          <w:szCs w:val="24"/>
          <w:lang w:val="id-ID"/>
        </w:rPr>
        <w:t xml:space="preserve">rasio profitabilitas (ROA) </w:t>
      </w:r>
      <w:r w:rsidR="00E066BD" w:rsidRPr="00B11752">
        <w:rPr>
          <w:rFonts w:asciiTheme="majorBidi" w:hAnsiTheme="majorBidi" w:cstheme="majorBidi"/>
          <w:sz w:val="24"/>
          <w:szCs w:val="24"/>
          <w:lang w:val="id-ID"/>
        </w:rPr>
        <w:t>Bank Muamalat Indonesia s</w:t>
      </w:r>
      <w:r w:rsidR="00662FDC" w:rsidRPr="00B11752">
        <w:rPr>
          <w:rFonts w:asciiTheme="majorBidi" w:hAnsiTheme="majorBidi" w:cstheme="majorBidi"/>
          <w:sz w:val="24"/>
          <w:szCs w:val="24"/>
          <w:lang w:val="id-ID"/>
        </w:rPr>
        <w:t>e</w:t>
      </w:r>
      <w:r w:rsidR="00CE461C">
        <w:rPr>
          <w:rFonts w:asciiTheme="majorBidi" w:hAnsiTheme="majorBidi" w:cstheme="majorBidi"/>
          <w:sz w:val="24"/>
          <w:szCs w:val="24"/>
          <w:lang w:val="id-ID"/>
        </w:rPr>
        <w:t xml:space="preserve">telah penerbitan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713C15">
        <w:rPr>
          <w:rFonts w:asciiTheme="majorBidi" w:hAnsiTheme="majorBidi" w:cstheme="majorBidi"/>
          <w:sz w:val="24"/>
          <w:szCs w:val="24"/>
          <w:lang w:val="id-ID"/>
        </w:rPr>
        <w:t xml:space="preserve"> </w:t>
      </w:r>
      <w:r w:rsidR="00CE461C">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CE461C">
        <w:rPr>
          <w:rFonts w:asciiTheme="majorBidi" w:hAnsiTheme="majorBidi" w:cstheme="majorBidi"/>
          <w:sz w:val="24"/>
          <w:szCs w:val="24"/>
          <w:lang w:val="id-ID"/>
        </w:rPr>
        <w:t>)</w:t>
      </w:r>
      <w:r w:rsidR="00886A18">
        <w:rPr>
          <w:rFonts w:asciiTheme="majorBidi" w:hAnsiTheme="majorBidi" w:cstheme="majorBidi"/>
          <w:sz w:val="24"/>
          <w:szCs w:val="24"/>
          <w:lang w:val="id-ID"/>
        </w:rPr>
        <w:t xml:space="preserve"> </w:t>
      </w:r>
      <w:r w:rsidR="00C56948">
        <w:rPr>
          <w:rFonts w:asciiTheme="majorBidi" w:hAnsiTheme="majorBidi" w:cstheme="majorBidi"/>
          <w:sz w:val="24"/>
          <w:szCs w:val="24"/>
          <w:lang w:val="id-ID"/>
        </w:rPr>
        <w:t xml:space="preserve">menggambarkan keadaan sebaliknya. </w:t>
      </w:r>
    </w:p>
    <w:p w:rsidR="005B623B" w:rsidRDefault="00C56948"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w:t>
      </w:r>
      <w:r w:rsidR="00886A18">
        <w:rPr>
          <w:rFonts w:asciiTheme="majorBidi" w:hAnsiTheme="majorBidi" w:cstheme="majorBidi"/>
          <w:sz w:val="24"/>
          <w:szCs w:val="24"/>
          <w:lang w:val="id-ID"/>
        </w:rPr>
        <w:t>er</w:t>
      </w:r>
      <w:r w:rsidR="00797AC7">
        <w:rPr>
          <w:rFonts w:asciiTheme="majorBidi" w:hAnsiTheme="majorBidi" w:cstheme="majorBidi"/>
          <w:sz w:val="24"/>
          <w:szCs w:val="24"/>
          <w:lang w:val="id-ID"/>
        </w:rPr>
        <w:t>dasarkan penelitian yang dilaku</w:t>
      </w:r>
      <w:r w:rsidR="00886A18">
        <w:rPr>
          <w:rFonts w:asciiTheme="majorBidi" w:hAnsiTheme="majorBidi" w:cstheme="majorBidi"/>
          <w:sz w:val="24"/>
          <w:szCs w:val="24"/>
          <w:lang w:val="id-ID"/>
        </w:rPr>
        <w:t>k</w:t>
      </w:r>
      <w:r w:rsidR="00797AC7">
        <w:rPr>
          <w:rFonts w:asciiTheme="majorBidi" w:hAnsiTheme="majorBidi" w:cstheme="majorBidi"/>
          <w:sz w:val="24"/>
          <w:szCs w:val="24"/>
          <w:lang w:val="id-ID"/>
        </w:rPr>
        <w:t>a</w:t>
      </w:r>
      <w:r w:rsidR="00886A18">
        <w:rPr>
          <w:rFonts w:asciiTheme="majorBidi" w:hAnsiTheme="majorBidi" w:cstheme="majorBidi"/>
          <w:sz w:val="24"/>
          <w:szCs w:val="24"/>
          <w:lang w:val="id-ID"/>
        </w:rPr>
        <w:t xml:space="preserve">n oleh Rianda (2015), bahwa </w:t>
      </w:r>
      <w:r w:rsidR="00886A18">
        <w:rPr>
          <w:rFonts w:asciiTheme="majorBidi" w:hAnsiTheme="majorBidi" w:cstheme="majorBidi"/>
          <w:i/>
          <w:iCs/>
          <w:sz w:val="24"/>
          <w:szCs w:val="24"/>
          <w:lang w:val="id-ID"/>
        </w:rPr>
        <w:t xml:space="preserve">sukuk to equity ratio </w:t>
      </w:r>
      <w:r w:rsidR="00886A18">
        <w:rPr>
          <w:rFonts w:asciiTheme="majorBidi" w:hAnsiTheme="majorBidi" w:cstheme="majorBidi"/>
          <w:sz w:val="24"/>
          <w:szCs w:val="24"/>
          <w:lang w:val="id-ID"/>
        </w:rPr>
        <w:t xml:space="preserve">(SER) berpengaruh signifikan terhadap </w:t>
      </w:r>
      <w:r w:rsidR="00886A18">
        <w:rPr>
          <w:rFonts w:asciiTheme="majorBidi" w:hAnsiTheme="majorBidi" w:cstheme="majorBidi"/>
          <w:i/>
          <w:iCs/>
          <w:sz w:val="24"/>
          <w:szCs w:val="24"/>
          <w:lang w:val="id-ID"/>
        </w:rPr>
        <w:t xml:space="preserve">return on asset </w:t>
      </w:r>
      <w:r w:rsidR="00886A18">
        <w:rPr>
          <w:rFonts w:asciiTheme="majorBidi" w:hAnsiTheme="majorBidi" w:cstheme="majorBidi"/>
          <w:sz w:val="24"/>
          <w:szCs w:val="24"/>
          <w:lang w:val="id-ID"/>
        </w:rPr>
        <w:t xml:space="preserve">(ROA) emiten di Bursa Efek Indonesia tahun 2009-2013, dan berdasarkan penelitian yang dilakukan oleh </w:t>
      </w:r>
      <w:r w:rsidR="00F55577">
        <w:rPr>
          <w:rFonts w:asciiTheme="majorBidi" w:hAnsiTheme="majorBidi" w:cstheme="majorBidi"/>
          <w:sz w:val="24"/>
          <w:szCs w:val="24"/>
          <w:lang w:val="id-ID"/>
        </w:rPr>
        <w:t>A</w:t>
      </w:r>
      <w:r w:rsidR="00886A18">
        <w:rPr>
          <w:rFonts w:asciiTheme="majorBidi" w:hAnsiTheme="majorBidi" w:cstheme="majorBidi"/>
          <w:sz w:val="24"/>
          <w:szCs w:val="24"/>
          <w:lang w:val="id-ID"/>
        </w:rPr>
        <w:t>hmad (2013), bahwa variabel rasio sukuk per aset berpengaruh positif signifikan terhadap ROA.</w:t>
      </w:r>
      <w:r w:rsidR="00F55577">
        <w:rPr>
          <w:rFonts w:asciiTheme="majorBidi" w:hAnsiTheme="majorBidi" w:cstheme="majorBidi"/>
          <w:sz w:val="24"/>
          <w:szCs w:val="24"/>
          <w:lang w:val="id-ID"/>
        </w:rPr>
        <w:t xml:space="preserve"> </w:t>
      </w:r>
    </w:p>
    <w:p w:rsidR="00E32448" w:rsidRDefault="005B623B"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Sesuai dengan latar belakang masalah tersebut, m</w:t>
      </w:r>
      <w:r w:rsidR="00621FD9" w:rsidRPr="00B11752">
        <w:rPr>
          <w:rFonts w:asciiTheme="majorBidi" w:hAnsiTheme="majorBidi" w:cstheme="majorBidi"/>
          <w:sz w:val="24"/>
          <w:szCs w:val="24"/>
          <w:lang w:val="id-ID"/>
        </w:rPr>
        <w:t>a</w:t>
      </w:r>
      <w:r>
        <w:rPr>
          <w:rFonts w:asciiTheme="majorBidi" w:hAnsiTheme="majorBidi" w:cstheme="majorBidi"/>
          <w:sz w:val="24"/>
          <w:szCs w:val="24"/>
          <w:lang w:val="id-ID"/>
        </w:rPr>
        <w:t>ka penulis</w:t>
      </w:r>
      <w:r w:rsidR="00F5557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melakukan </w:t>
      </w:r>
      <w:r w:rsidR="00F55577">
        <w:rPr>
          <w:rFonts w:asciiTheme="majorBidi" w:hAnsiTheme="majorBidi" w:cstheme="majorBidi"/>
          <w:sz w:val="24"/>
          <w:szCs w:val="24"/>
          <w:lang w:val="id-ID"/>
        </w:rPr>
        <w:t>penelitian dengan</w:t>
      </w:r>
      <w:r w:rsidR="0087311F">
        <w:rPr>
          <w:rFonts w:asciiTheme="majorBidi" w:hAnsiTheme="majorBidi" w:cstheme="majorBidi"/>
          <w:sz w:val="24"/>
          <w:szCs w:val="24"/>
          <w:lang w:val="id-ID"/>
        </w:rPr>
        <w:t xml:space="preserve"> mengangkat judul </w:t>
      </w:r>
      <w:r w:rsidRPr="00F22BF6">
        <w:rPr>
          <w:rFonts w:asciiTheme="majorBidi" w:hAnsiTheme="majorBidi" w:cstheme="majorBidi"/>
          <w:b/>
          <w:bCs/>
          <w:sz w:val="24"/>
          <w:szCs w:val="24"/>
          <w:lang w:val="id-ID"/>
        </w:rPr>
        <w:t xml:space="preserve">“PENGARUH PENERBITAN </w:t>
      </w:r>
      <w:r w:rsidR="000020E2" w:rsidRPr="00F22BF6">
        <w:rPr>
          <w:rFonts w:asciiTheme="majorBidi" w:hAnsiTheme="majorBidi" w:cstheme="majorBidi"/>
          <w:b/>
          <w:bCs/>
          <w:sz w:val="24"/>
          <w:szCs w:val="24"/>
          <w:lang w:val="id-ID"/>
        </w:rPr>
        <w:t xml:space="preserve">SUKUK </w:t>
      </w:r>
      <w:r w:rsidRPr="00F22BF6">
        <w:rPr>
          <w:rFonts w:asciiTheme="majorBidi" w:hAnsiTheme="majorBidi" w:cstheme="majorBidi"/>
          <w:b/>
          <w:bCs/>
          <w:sz w:val="24"/>
          <w:szCs w:val="24"/>
          <w:lang w:val="id-ID"/>
        </w:rPr>
        <w:t>TERHADAP ROA</w:t>
      </w:r>
      <w:r w:rsidR="000020E2" w:rsidRPr="00F22BF6">
        <w:rPr>
          <w:rFonts w:asciiTheme="majorBidi" w:hAnsiTheme="majorBidi" w:cstheme="majorBidi"/>
          <w:b/>
          <w:bCs/>
          <w:sz w:val="24"/>
          <w:szCs w:val="24"/>
          <w:lang w:val="id-ID"/>
        </w:rPr>
        <w:t xml:space="preserve"> BANK MUAMALAT INDONESIA PERIODE 2012-2017</w:t>
      </w:r>
      <w:r w:rsidR="00621FD9" w:rsidRPr="00F22BF6">
        <w:rPr>
          <w:rFonts w:asciiTheme="majorBidi" w:hAnsiTheme="majorBidi" w:cstheme="majorBidi"/>
          <w:b/>
          <w:bCs/>
          <w:sz w:val="24"/>
          <w:szCs w:val="24"/>
          <w:lang w:val="id-ID"/>
        </w:rPr>
        <w:t>”</w:t>
      </w:r>
      <w:r w:rsidR="00621FD9" w:rsidRPr="005B623B">
        <w:rPr>
          <w:rFonts w:asciiTheme="majorBidi" w:hAnsiTheme="majorBidi" w:cstheme="majorBidi"/>
          <w:sz w:val="24"/>
          <w:szCs w:val="24"/>
          <w:lang w:val="id-ID"/>
        </w:rPr>
        <w:t>.</w:t>
      </w:r>
    </w:p>
    <w:p w:rsidR="00CD3EE9" w:rsidRPr="00F07FEF" w:rsidRDefault="00CD3EE9" w:rsidP="00CD3EE9">
      <w:pPr>
        <w:spacing w:before="40" w:after="40" w:line="480" w:lineRule="auto"/>
        <w:ind w:firstLine="720"/>
        <w:jc w:val="both"/>
        <w:rPr>
          <w:rFonts w:asciiTheme="majorBidi" w:hAnsiTheme="majorBidi" w:cstheme="majorBidi"/>
          <w:sz w:val="24"/>
          <w:szCs w:val="24"/>
          <w:lang w:val="id-ID"/>
        </w:rPr>
      </w:pPr>
    </w:p>
    <w:p w:rsidR="00621FD9"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Identifikasi Masalah</w:t>
      </w:r>
    </w:p>
    <w:p w:rsidR="00FE17A5" w:rsidRPr="00F07FEF" w:rsidRDefault="00FE17A5" w:rsidP="00CD3EE9">
      <w:pPr>
        <w:pStyle w:val="ListParagraph"/>
        <w:spacing w:before="40" w:after="40" w:line="480" w:lineRule="auto"/>
        <w:ind w:left="0" w:firstLine="720"/>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Faktor kecukupan modal sering kali menjadi kendala sebuah bank syariah dalam memperluas ekspansi usahanya. </w:t>
      </w:r>
      <w:r>
        <w:rPr>
          <w:rFonts w:asciiTheme="majorBidi" w:hAnsiTheme="majorBidi" w:cstheme="majorBidi"/>
          <w:i/>
          <w:iCs/>
          <w:sz w:val="24"/>
          <w:szCs w:val="24"/>
          <w:lang w:val="id-ID"/>
        </w:rPr>
        <w:t xml:space="preserve">Market share </w:t>
      </w:r>
      <w:r>
        <w:rPr>
          <w:rFonts w:asciiTheme="majorBidi" w:hAnsiTheme="majorBidi" w:cstheme="majorBidi"/>
          <w:sz w:val="24"/>
          <w:szCs w:val="24"/>
          <w:lang w:val="id-ID"/>
        </w:rPr>
        <w:t xml:space="preserve">yang </w:t>
      </w:r>
      <w:r>
        <w:rPr>
          <w:rFonts w:asciiTheme="majorBidi" w:hAnsiTheme="majorBidi" w:cstheme="majorBidi"/>
          <w:sz w:val="24"/>
          <w:szCs w:val="24"/>
          <w:lang w:val="id-ID"/>
        </w:rPr>
        <w:lastRenderedPageBreak/>
        <w:t>besar sangat dibutuhkan untuk terus menjaga iklim kompetisi diantara para kompetitor guna memperoleh keuntungan. Salah satu cara yang terkadang digunakan oleh bank atau perusahaan (</w:t>
      </w:r>
      <w:r>
        <w:rPr>
          <w:rFonts w:asciiTheme="majorBidi" w:hAnsiTheme="majorBidi" w:cstheme="majorBidi"/>
          <w:i/>
          <w:iCs/>
          <w:sz w:val="24"/>
          <w:szCs w:val="24"/>
          <w:lang w:val="id-ID"/>
        </w:rPr>
        <w:t>corporation</w:t>
      </w:r>
      <w:r>
        <w:rPr>
          <w:rFonts w:asciiTheme="majorBidi" w:hAnsiTheme="majorBidi" w:cstheme="majorBidi"/>
          <w:sz w:val="24"/>
          <w:szCs w:val="24"/>
          <w:lang w:val="id-ID"/>
        </w:rPr>
        <w:t>) dalam memenuhi kecukupan modalnya adalah dengan menerbitkan obligasi syariah (</w:t>
      </w:r>
      <w:r>
        <w:rPr>
          <w:rFonts w:asciiTheme="majorBidi" w:hAnsiTheme="majorBidi" w:cstheme="majorBidi"/>
          <w:i/>
          <w:iCs/>
          <w:sz w:val="24"/>
          <w:szCs w:val="24"/>
          <w:lang w:val="id-ID"/>
        </w:rPr>
        <w:t>sukuk</w:t>
      </w:r>
      <w:r>
        <w:rPr>
          <w:rFonts w:asciiTheme="majorBidi" w:hAnsiTheme="majorBidi" w:cstheme="majorBidi"/>
          <w:sz w:val="24"/>
          <w:szCs w:val="24"/>
          <w:lang w:val="id-ID"/>
        </w:rPr>
        <w:t xml:space="preserve">). Dimana suntikan dana akan memperkuat rasio permodalan bank syariah sehingga </w:t>
      </w:r>
      <w:r w:rsidR="00F07FEF">
        <w:rPr>
          <w:rFonts w:asciiTheme="majorBidi" w:hAnsiTheme="majorBidi" w:cstheme="majorBidi"/>
          <w:sz w:val="24"/>
          <w:szCs w:val="24"/>
          <w:lang w:val="id-ID"/>
        </w:rPr>
        <w:t xml:space="preserve">profitabilitas (ROA) </w:t>
      </w:r>
      <w:r>
        <w:rPr>
          <w:rFonts w:asciiTheme="majorBidi" w:hAnsiTheme="majorBidi" w:cstheme="majorBidi"/>
          <w:sz w:val="24"/>
          <w:szCs w:val="24"/>
          <w:lang w:val="id-ID"/>
        </w:rPr>
        <w:t>bank</w:t>
      </w:r>
      <w:r w:rsidR="00F07FEF">
        <w:rPr>
          <w:rFonts w:asciiTheme="majorBidi" w:hAnsiTheme="majorBidi" w:cstheme="majorBidi"/>
          <w:sz w:val="24"/>
          <w:szCs w:val="24"/>
          <w:lang w:val="id-ID"/>
        </w:rPr>
        <w:t xml:space="preserve"> syariah</w:t>
      </w:r>
      <w:r>
        <w:rPr>
          <w:rFonts w:asciiTheme="majorBidi" w:hAnsiTheme="majorBidi" w:cstheme="majorBidi"/>
          <w:sz w:val="24"/>
          <w:szCs w:val="24"/>
          <w:lang w:val="id-ID"/>
        </w:rPr>
        <w:t xml:space="preserve"> </w:t>
      </w:r>
      <w:r w:rsidR="00F07FEF">
        <w:rPr>
          <w:rFonts w:asciiTheme="majorBidi" w:hAnsiTheme="majorBidi" w:cstheme="majorBidi"/>
          <w:sz w:val="24"/>
          <w:szCs w:val="24"/>
          <w:lang w:val="id-ID"/>
        </w:rPr>
        <w:t xml:space="preserve">diharapkan meningkat. </w:t>
      </w:r>
    </w:p>
    <w:p w:rsidR="006624F2" w:rsidRDefault="00F07FEF" w:rsidP="00CD3EE9">
      <w:pPr>
        <w:pStyle w:val="ListParagraph"/>
        <w:spacing w:before="40" w:after="4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I</w:t>
      </w:r>
      <w:r w:rsidR="00C56948">
        <w:rPr>
          <w:rFonts w:asciiTheme="majorBidi" w:hAnsiTheme="majorBidi" w:cstheme="majorBidi"/>
          <w:sz w:val="24"/>
          <w:szCs w:val="24"/>
          <w:lang w:val="id-ID"/>
        </w:rPr>
        <w:t xml:space="preserve">dentifikasi bahwa setelah </w:t>
      </w:r>
      <w:r>
        <w:rPr>
          <w:rFonts w:asciiTheme="majorBidi" w:hAnsiTheme="majorBidi" w:cstheme="majorBidi"/>
          <w:sz w:val="24"/>
          <w:szCs w:val="24"/>
          <w:lang w:val="id-ID"/>
        </w:rPr>
        <w:t xml:space="preserve">Bank Muamalat Indonesia </w:t>
      </w:r>
      <w:r w:rsidR="00C56948">
        <w:rPr>
          <w:rFonts w:asciiTheme="majorBidi" w:hAnsiTheme="majorBidi" w:cstheme="majorBidi"/>
          <w:sz w:val="24"/>
          <w:szCs w:val="24"/>
          <w:lang w:val="id-ID"/>
        </w:rPr>
        <w:t xml:space="preserve">melakukan </w:t>
      </w:r>
      <w:r w:rsidR="00F22BF6">
        <w:rPr>
          <w:rFonts w:asciiTheme="majorBidi" w:hAnsiTheme="majorBidi" w:cstheme="majorBidi"/>
          <w:sz w:val="24"/>
          <w:szCs w:val="24"/>
          <w:lang w:val="id-ID"/>
        </w:rPr>
        <w:t xml:space="preserve">penerbitan sukuk, </w:t>
      </w:r>
      <w:r w:rsidR="000651AF">
        <w:rPr>
          <w:rFonts w:asciiTheme="majorBidi" w:hAnsiTheme="majorBidi" w:cstheme="majorBidi"/>
          <w:sz w:val="24"/>
          <w:szCs w:val="24"/>
          <w:lang w:val="id-ID"/>
        </w:rPr>
        <w:t xml:space="preserve">jika dilihat pada tabel 1.1 perkembangan ROA mengalami fluktuatif </w:t>
      </w:r>
      <w:r>
        <w:rPr>
          <w:rFonts w:asciiTheme="majorBidi" w:hAnsiTheme="majorBidi" w:cstheme="majorBidi"/>
          <w:sz w:val="24"/>
          <w:szCs w:val="24"/>
          <w:lang w:val="id-ID"/>
        </w:rPr>
        <w:t xml:space="preserve">angka </w:t>
      </w:r>
      <w:r w:rsidR="000651AF">
        <w:rPr>
          <w:rFonts w:asciiTheme="majorBidi" w:hAnsiTheme="majorBidi" w:cstheme="majorBidi"/>
          <w:sz w:val="24"/>
          <w:szCs w:val="24"/>
          <w:lang w:val="id-ID"/>
        </w:rPr>
        <w:t xml:space="preserve">yang cenderung menurun. Sehingga perlu diteliti, apakah peningkatan </w:t>
      </w:r>
      <w:r w:rsidR="005E66BA">
        <w:rPr>
          <w:rFonts w:asciiTheme="majorBidi" w:hAnsiTheme="majorBidi" w:cstheme="majorBidi"/>
          <w:sz w:val="24"/>
          <w:szCs w:val="24"/>
          <w:lang w:val="id-ID"/>
        </w:rPr>
        <w:t>profitabilitas</w:t>
      </w:r>
      <w:r w:rsidR="000651AF">
        <w:rPr>
          <w:rFonts w:asciiTheme="majorBidi" w:hAnsiTheme="majorBidi" w:cstheme="majorBidi"/>
          <w:sz w:val="24"/>
          <w:szCs w:val="24"/>
          <w:lang w:val="id-ID"/>
        </w:rPr>
        <w:t xml:space="preserve"> benar-benar dipengaruhi oleh penerbitan </w:t>
      </w:r>
      <w:r w:rsidR="00F22BF6">
        <w:rPr>
          <w:rFonts w:asciiTheme="majorBidi" w:hAnsiTheme="majorBidi" w:cstheme="majorBidi"/>
          <w:sz w:val="24"/>
          <w:szCs w:val="24"/>
          <w:lang w:val="id-ID"/>
        </w:rPr>
        <w:t xml:space="preserve">sukuk </w:t>
      </w:r>
      <w:r w:rsidR="000651AF">
        <w:rPr>
          <w:rFonts w:asciiTheme="majorBidi" w:hAnsiTheme="majorBidi" w:cstheme="majorBidi"/>
          <w:sz w:val="24"/>
          <w:szCs w:val="24"/>
          <w:lang w:val="id-ID"/>
        </w:rPr>
        <w:t xml:space="preserve">atau dipengaruhi oleh faktor lainnya yang tidak disebutkan dalam penelitian ini. </w:t>
      </w:r>
    </w:p>
    <w:p w:rsidR="00797AC7" w:rsidRPr="006624F2" w:rsidRDefault="00797AC7" w:rsidP="00CD3EE9">
      <w:pPr>
        <w:pStyle w:val="ListParagraph"/>
        <w:spacing w:before="40" w:after="40" w:line="480" w:lineRule="auto"/>
        <w:ind w:left="0" w:firstLine="720"/>
        <w:jc w:val="both"/>
        <w:rPr>
          <w:rFonts w:asciiTheme="majorBidi" w:hAnsiTheme="majorBidi" w:cstheme="majorBidi"/>
          <w:sz w:val="24"/>
          <w:szCs w:val="24"/>
          <w:lang w:val="id-ID"/>
        </w:rPr>
      </w:pPr>
    </w:p>
    <w:p w:rsidR="00797AC7" w:rsidRDefault="00797AC7"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Pembatasan Masalah</w:t>
      </w:r>
    </w:p>
    <w:p w:rsidR="00F22BF6" w:rsidRPr="00EF5514" w:rsidRDefault="00797AC7" w:rsidP="00CD3EE9">
      <w:pPr>
        <w:pStyle w:val="ListParagraph"/>
        <w:spacing w:before="40" w:after="4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perumusan masalah diatas, maka penulis membatasi permasalahan pada Bank Muamalat sebagai ban</w:t>
      </w:r>
      <w:r w:rsidR="00F22BF6">
        <w:rPr>
          <w:rFonts w:asciiTheme="majorBidi" w:hAnsiTheme="majorBidi" w:cstheme="majorBidi"/>
          <w:sz w:val="24"/>
          <w:szCs w:val="24"/>
          <w:lang w:val="id-ID"/>
        </w:rPr>
        <w:t>k syariah yang telah menerbitkan sukuk</w:t>
      </w:r>
      <w:r>
        <w:rPr>
          <w:rFonts w:asciiTheme="majorBidi" w:hAnsiTheme="majorBidi" w:cstheme="majorBidi"/>
          <w:sz w:val="24"/>
          <w:szCs w:val="24"/>
          <w:lang w:val="id-ID"/>
        </w:rPr>
        <w:t xml:space="preserve"> korporasi. Dalam proses pengambilan data diambil secara tr</w:t>
      </w:r>
      <w:r w:rsidR="00EF5514">
        <w:rPr>
          <w:rFonts w:asciiTheme="majorBidi" w:hAnsiTheme="majorBidi" w:cstheme="majorBidi"/>
          <w:sz w:val="24"/>
          <w:szCs w:val="24"/>
          <w:lang w:val="id-ID"/>
        </w:rPr>
        <w:t>iwulan selama periode Juni 2012 hingga s</w:t>
      </w:r>
      <w:r>
        <w:rPr>
          <w:rFonts w:asciiTheme="majorBidi" w:hAnsiTheme="majorBidi" w:cstheme="majorBidi"/>
          <w:sz w:val="24"/>
          <w:szCs w:val="24"/>
          <w:lang w:val="id-ID"/>
        </w:rPr>
        <w:t>eptember 2017 yang dibatas</w:t>
      </w:r>
      <w:r w:rsidR="00F22BF6">
        <w:rPr>
          <w:rFonts w:asciiTheme="majorBidi" w:hAnsiTheme="majorBidi" w:cstheme="majorBidi"/>
          <w:sz w:val="24"/>
          <w:szCs w:val="24"/>
          <w:lang w:val="id-ID"/>
        </w:rPr>
        <w:t>i hanya pada periode penerbitan sukuk</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subordinasi berkelanjutan 1 tahap 1 dan 2 pada tahun 2012 hingga pada tahun 2017 setelah penerbitan</w:t>
      </w:r>
      <w:r w:rsidR="00D765D1">
        <w:rPr>
          <w:rFonts w:asciiTheme="majorBidi" w:hAnsiTheme="majorBidi" w:cstheme="majorBidi"/>
          <w:sz w:val="24"/>
          <w:szCs w:val="24"/>
          <w:lang w:val="id-ID"/>
        </w:rPr>
        <w:t xml:space="preserve"> sukuk</w:t>
      </w:r>
      <w:r>
        <w:rPr>
          <w:rFonts w:asciiTheme="majorBidi" w:hAnsiTheme="majorBidi" w:cstheme="majorBidi"/>
          <w:sz w:val="24"/>
          <w:szCs w:val="24"/>
          <w:lang w:val="id-ID"/>
        </w:rPr>
        <w:t>. Kemudian dalam mengukur tingkat profitabilitas Bank Muamalat, penulis membatasi hanya pada seputar ROA.</w:t>
      </w:r>
    </w:p>
    <w:p w:rsidR="00F22BF6" w:rsidRPr="00797AC7" w:rsidRDefault="00F22BF6" w:rsidP="00CD3EE9">
      <w:pPr>
        <w:pStyle w:val="ListParagraph"/>
        <w:spacing w:before="40" w:after="40" w:line="480" w:lineRule="auto"/>
        <w:ind w:left="0" w:firstLine="720"/>
        <w:jc w:val="both"/>
        <w:rPr>
          <w:rFonts w:asciiTheme="majorBidi" w:hAnsiTheme="majorBidi" w:cstheme="majorBidi"/>
          <w:sz w:val="24"/>
          <w:szCs w:val="24"/>
          <w:lang w:val="id-ID"/>
        </w:rPr>
      </w:pPr>
    </w:p>
    <w:p w:rsidR="00621FD9" w:rsidRPr="004C3CD5"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Perumusan Masalah</w:t>
      </w:r>
    </w:p>
    <w:p w:rsidR="00621FD9" w:rsidRDefault="00621FD9"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batasan masalah di</w:t>
      </w:r>
      <w:r w:rsidR="00D765D1">
        <w:rPr>
          <w:rFonts w:asciiTheme="majorBidi" w:hAnsiTheme="majorBidi" w:cstheme="majorBidi"/>
          <w:sz w:val="24"/>
          <w:szCs w:val="24"/>
          <w:lang w:val="id-ID"/>
        </w:rPr>
        <w:t xml:space="preserve"> </w:t>
      </w:r>
      <w:r>
        <w:rPr>
          <w:rFonts w:asciiTheme="majorBidi" w:hAnsiTheme="majorBidi" w:cstheme="majorBidi"/>
          <w:sz w:val="24"/>
          <w:szCs w:val="24"/>
          <w:lang w:val="id-ID"/>
        </w:rPr>
        <w:t>atas, maka penulis merumuskan penelitian sebagai berikut:</w:t>
      </w:r>
    </w:p>
    <w:p w:rsidR="00621FD9" w:rsidRPr="00D84D48" w:rsidRDefault="005E66BA" w:rsidP="00CD3EE9">
      <w:pPr>
        <w:pStyle w:val="ListParagraph"/>
        <w:numPr>
          <w:ilvl w:val="0"/>
          <w:numId w:val="3"/>
        </w:numPr>
        <w:spacing w:before="40" w:after="4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Apakah</w:t>
      </w:r>
      <w:r w:rsidR="00621FD9" w:rsidRPr="00D84D48">
        <w:rPr>
          <w:rFonts w:asciiTheme="majorBidi" w:hAnsiTheme="majorBidi" w:cstheme="majorBidi"/>
          <w:sz w:val="24"/>
          <w:szCs w:val="24"/>
          <w:lang w:val="id-ID"/>
        </w:rPr>
        <w:t xml:space="preserve"> penerbitan </w:t>
      </w:r>
      <w:r>
        <w:rPr>
          <w:rFonts w:asciiTheme="majorBidi" w:hAnsiTheme="majorBidi" w:cstheme="majorBidi"/>
          <w:sz w:val="24"/>
          <w:szCs w:val="24"/>
          <w:lang w:val="id-ID"/>
        </w:rPr>
        <w:t>Obligasi syariah</w:t>
      </w:r>
      <w:r w:rsidR="00713C15">
        <w:rPr>
          <w:rFonts w:asciiTheme="majorBidi" w:hAnsiTheme="majorBidi" w:cstheme="majorBidi"/>
          <w:sz w:val="24"/>
          <w:szCs w:val="24"/>
          <w:lang w:val="id-ID"/>
        </w:rPr>
        <w:t xml:space="preserve"> </w:t>
      </w:r>
      <w:r w:rsidR="00621FD9" w:rsidRPr="00D84D48">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621FD9" w:rsidRPr="00D84D4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berpengaruh </w:t>
      </w:r>
      <w:r w:rsidR="00621FD9" w:rsidRPr="00D84D48">
        <w:rPr>
          <w:rFonts w:asciiTheme="majorBidi" w:hAnsiTheme="majorBidi" w:cstheme="majorBidi"/>
          <w:sz w:val="24"/>
          <w:szCs w:val="24"/>
          <w:lang w:val="id-ID"/>
        </w:rPr>
        <w:t xml:space="preserve">terhadap </w:t>
      </w:r>
      <w:r w:rsidR="00EF5514">
        <w:rPr>
          <w:rFonts w:asciiTheme="majorBidi" w:hAnsiTheme="majorBidi" w:cstheme="majorBidi"/>
          <w:sz w:val="24"/>
          <w:szCs w:val="24"/>
          <w:lang w:val="id-ID"/>
        </w:rPr>
        <w:t>ROA</w:t>
      </w:r>
      <w:r w:rsidR="008B5BF2">
        <w:rPr>
          <w:rFonts w:asciiTheme="majorBidi" w:hAnsiTheme="majorBidi" w:cstheme="majorBidi"/>
          <w:sz w:val="24"/>
          <w:szCs w:val="24"/>
          <w:lang w:val="id-ID"/>
        </w:rPr>
        <w:t xml:space="preserve"> </w:t>
      </w:r>
      <w:r w:rsidR="00D765D1">
        <w:rPr>
          <w:rFonts w:asciiTheme="majorBidi" w:hAnsiTheme="majorBidi" w:cstheme="majorBidi"/>
          <w:sz w:val="24"/>
          <w:szCs w:val="24"/>
          <w:lang w:val="id-ID"/>
        </w:rPr>
        <w:t>Bank M</w:t>
      </w:r>
      <w:r w:rsidR="00621FD9" w:rsidRPr="00D84D48">
        <w:rPr>
          <w:rFonts w:asciiTheme="majorBidi" w:hAnsiTheme="majorBidi" w:cstheme="majorBidi"/>
          <w:sz w:val="24"/>
          <w:szCs w:val="24"/>
          <w:lang w:val="id-ID"/>
        </w:rPr>
        <w:t>uamalat</w:t>
      </w:r>
      <w:r w:rsidR="0069394B">
        <w:rPr>
          <w:rFonts w:asciiTheme="majorBidi" w:hAnsiTheme="majorBidi" w:cstheme="majorBidi"/>
          <w:sz w:val="24"/>
          <w:szCs w:val="24"/>
          <w:lang w:val="id-ID"/>
        </w:rPr>
        <w:t xml:space="preserve"> Indonesia periode 2012-2017</w:t>
      </w:r>
      <w:r w:rsidR="00621FD9" w:rsidRPr="00D84D48">
        <w:rPr>
          <w:rFonts w:asciiTheme="majorBidi" w:hAnsiTheme="majorBidi" w:cstheme="majorBidi"/>
          <w:sz w:val="24"/>
          <w:szCs w:val="24"/>
          <w:lang w:val="id-ID"/>
        </w:rPr>
        <w:t>?</w:t>
      </w:r>
    </w:p>
    <w:p w:rsidR="00797AC7" w:rsidRDefault="008B1AE6" w:rsidP="00CD3EE9">
      <w:pPr>
        <w:pStyle w:val="ListParagraph"/>
        <w:numPr>
          <w:ilvl w:val="0"/>
          <w:numId w:val="3"/>
        </w:numPr>
        <w:spacing w:before="40" w:after="4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Seberapa besar pengaruh penerbitan </w:t>
      </w:r>
      <w:r w:rsidR="000651AF" w:rsidRPr="000651AF">
        <w:rPr>
          <w:rFonts w:asciiTheme="majorBidi" w:hAnsiTheme="majorBidi" w:cstheme="majorBidi"/>
          <w:sz w:val="24"/>
          <w:szCs w:val="24"/>
          <w:lang w:val="id-ID"/>
        </w:rPr>
        <w:t xml:space="preserve">Obligasi syariah </w:t>
      </w:r>
      <w:r w:rsidR="00713C15">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Pr>
          <w:rFonts w:asciiTheme="majorBidi" w:hAnsiTheme="majorBidi" w:cstheme="majorBidi"/>
          <w:sz w:val="24"/>
          <w:szCs w:val="24"/>
          <w:lang w:val="id-ID"/>
        </w:rPr>
        <w:t xml:space="preserve">) terhadap </w:t>
      </w:r>
      <w:r w:rsidR="00EF5514">
        <w:rPr>
          <w:rFonts w:asciiTheme="majorBidi" w:hAnsiTheme="majorBidi" w:cstheme="majorBidi"/>
          <w:sz w:val="24"/>
          <w:szCs w:val="24"/>
          <w:lang w:val="id-ID"/>
        </w:rPr>
        <w:t>ROA</w:t>
      </w:r>
      <w:r w:rsidR="008B5BF2">
        <w:rPr>
          <w:rFonts w:asciiTheme="majorBidi" w:hAnsiTheme="majorBidi" w:cstheme="majorBidi"/>
          <w:sz w:val="24"/>
          <w:szCs w:val="24"/>
          <w:lang w:val="id-ID"/>
        </w:rPr>
        <w:t xml:space="preserve"> </w:t>
      </w:r>
      <w:r w:rsidR="00D765D1">
        <w:rPr>
          <w:rFonts w:asciiTheme="majorBidi" w:hAnsiTheme="majorBidi" w:cstheme="majorBidi"/>
          <w:sz w:val="24"/>
          <w:szCs w:val="24"/>
          <w:lang w:val="id-ID"/>
        </w:rPr>
        <w:t>Bank M</w:t>
      </w:r>
      <w:r>
        <w:rPr>
          <w:rFonts w:asciiTheme="majorBidi" w:hAnsiTheme="majorBidi" w:cstheme="majorBidi"/>
          <w:sz w:val="24"/>
          <w:szCs w:val="24"/>
          <w:lang w:val="id-ID"/>
        </w:rPr>
        <w:t>uamalat</w:t>
      </w:r>
      <w:r w:rsidR="0069394B">
        <w:rPr>
          <w:rFonts w:asciiTheme="majorBidi" w:hAnsiTheme="majorBidi" w:cstheme="majorBidi"/>
          <w:sz w:val="24"/>
          <w:szCs w:val="24"/>
          <w:lang w:val="id-ID"/>
        </w:rPr>
        <w:t xml:space="preserve"> Indonesia </w:t>
      </w:r>
      <w:r w:rsidR="00D765D1">
        <w:rPr>
          <w:rFonts w:asciiTheme="majorBidi" w:hAnsiTheme="majorBidi" w:cstheme="majorBidi"/>
          <w:sz w:val="24"/>
          <w:szCs w:val="24"/>
          <w:lang w:val="id-ID"/>
        </w:rPr>
        <w:t xml:space="preserve">periode </w:t>
      </w:r>
      <w:r w:rsidR="0069394B">
        <w:rPr>
          <w:rFonts w:asciiTheme="majorBidi" w:hAnsiTheme="majorBidi" w:cstheme="majorBidi"/>
          <w:sz w:val="24"/>
          <w:szCs w:val="24"/>
          <w:lang w:val="id-ID"/>
        </w:rPr>
        <w:t>2012-2017</w:t>
      </w:r>
      <w:r w:rsidR="00621FD9" w:rsidRPr="00D84D48">
        <w:rPr>
          <w:rFonts w:asciiTheme="majorBidi" w:hAnsiTheme="majorBidi" w:cstheme="majorBidi"/>
          <w:sz w:val="24"/>
          <w:szCs w:val="24"/>
          <w:lang w:val="id-ID"/>
        </w:rPr>
        <w:t>?</w:t>
      </w:r>
    </w:p>
    <w:p w:rsidR="00E32448" w:rsidRPr="00F22BF6" w:rsidRDefault="00E32448" w:rsidP="00CD3EE9">
      <w:pPr>
        <w:pStyle w:val="ListParagraph"/>
        <w:spacing w:before="40" w:after="40" w:line="480" w:lineRule="auto"/>
        <w:ind w:left="0"/>
        <w:jc w:val="both"/>
        <w:rPr>
          <w:rFonts w:asciiTheme="majorBidi" w:hAnsiTheme="majorBidi" w:cstheme="majorBidi"/>
          <w:sz w:val="24"/>
          <w:szCs w:val="24"/>
          <w:lang w:val="id-ID"/>
        </w:rPr>
      </w:pPr>
    </w:p>
    <w:p w:rsidR="00621FD9" w:rsidRPr="004C3CD5"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Tujuan Penelitian</w:t>
      </w:r>
    </w:p>
    <w:p w:rsidR="00621FD9" w:rsidRDefault="00621FD9" w:rsidP="00CD3EE9">
      <w:pPr>
        <w:spacing w:before="40" w:after="4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perumusan masalah diatas, maka tujuan dari penelitian ini adalah:</w:t>
      </w:r>
    </w:p>
    <w:p w:rsidR="00621FD9" w:rsidRDefault="00C57F34" w:rsidP="00CD3EE9">
      <w:pPr>
        <w:pStyle w:val="ListParagraph"/>
        <w:numPr>
          <w:ilvl w:val="0"/>
          <w:numId w:val="4"/>
        </w:numPr>
        <w:spacing w:before="40" w:after="4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pengaruh </w:t>
      </w:r>
      <w:r w:rsidR="00621FD9">
        <w:rPr>
          <w:rFonts w:asciiTheme="majorBidi" w:hAnsiTheme="majorBidi" w:cstheme="majorBidi"/>
          <w:sz w:val="24"/>
          <w:szCs w:val="24"/>
          <w:lang w:val="id-ID"/>
        </w:rPr>
        <w:t xml:space="preserve">penerbitan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713C15">
        <w:rPr>
          <w:rFonts w:asciiTheme="majorBidi" w:hAnsiTheme="majorBidi" w:cstheme="majorBidi"/>
          <w:sz w:val="24"/>
          <w:szCs w:val="24"/>
          <w:lang w:val="id-ID"/>
        </w:rPr>
        <w:t xml:space="preserve"> </w:t>
      </w:r>
      <w:r w:rsidR="00621FD9">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621FD9">
        <w:rPr>
          <w:rFonts w:asciiTheme="majorBidi" w:hAnsiTheme="majorBidi" w:cstheme="majorBidi"/>
          <w:sz w:val="24"/>
          <w:szCs w:val="24"/>
          <w:lang w:val="id-ID"/>
        </w:rPr>
        <w:t xml:space="preserve">) terhadap </w:t>
      </w:r>
      <w:r w:rsidR="00EF5514">
        <w:rPr>
          <w:rFonts w:asciiTheme="majorBidi" w:hAnsiTheme="majorBidi" w:cstheme="majorBidi"/>
          <w:sz w:val="24"/>
          <w:szCs w:val="24"/>
          <w:lang w:val="id-ID"/>
        </w:rPr>
        <w:t>ROA</w:t>
      </w:r>
      <w:r w:rsidR="008B5BF2">
        <w:rPr>
          <w:rFonts w:asciiTheme="majorBidi" w:hAnsiTheme="majorBidi" w:cstheme="majorBidi"/>
          <w:sz w:val="24"/>
          <w:szCs w:val="24"/>
          <w:lang w:val="id-ID"/>
        </w:rPr>
        <w:t xml:space="preserve"> </w:t>
      </w:r>
      <w:r w:rsidR="00D765D1">
        <w:rPr>
          <w:rFonts w:asciiTheme="majorBidi" w:hAnsiTheme="majorBidi" w:cstheme="majorBidi"/>
          <w:sz w:val="24"/>
          <w:szCs w:val="24"/>
          <w:lang w:val="id-ID"/>
        </w:rPr>
        <w:t>B</w:t>
      </w:r>
      <w:r w:rsidR="00621FD9">
        <w:rPr>
          <w:rFonts w:asciiTheme="majorBidi" w:hAnsiTheme="majorBidi" w:cstheme="majorBidi"/>
          <w:sz w:val="24"/>
          <w:szCs w:val="24"/>
          <w:lang w:val="id-ID"/>
        </w:rPr>
        <w:t>ank</w:t>
      </w:r>
      <w:r w:rsidR="00D765D1">
        <w:rPr>
          <w:rFonts w:asciiTheme="majorBidi" w:hAnsiTheme="majorBidi" w:cstheme="majorBidi"/>
          <w:sz w:val="24"/>
          <w:szCs w:val="24"/>
          <w:lang w:val="id-ID"/>
        </w:rPr>
        <w:t xml:space="preserve"> M</w:t>
      </w:r>
      <w:r w:rsidR="008B1AE6">
        <w:rPr>
          <w:rFonts w:asciiTheme="majorBidi" w:hAnsiTheme="majorBidi" w:cstheme="majorBidi"/>
          <w:sz w:val="24"/>
          <w:szCs w:val="24"/>
          <w:lang w:val="id-ID"/>
        </w:rPr>
        <w:t>uamalat</w:t>
      </w:r>
      <w:r w:rsidR="00D765D1">
        <w:rPr>
          <w:rFonts w:asciiTheme="majorBidi" w:hAnsiTheme="majorBidi" w:cstheme="majorBidi"/>
          <w:sz w:val="24"/>
          <w:szCs w:val="24"/>
          <w:lang w:val="id-ID"/>
        </w:rPr>
        <w:t xml:space="preserve"> Indonesia periode 2012-2017</w:t>
      </w:r>
      <w:r>
        <w:rPr>
          <w:rFonts w:asciiTheme="majorBidi" w:hAnsiTheme="majorBidi" w:cstheme="majorBidi"/>
          <w:sz w:val="24"/>
          <w:szCs w:val="24"/>
          <w:lang w:val="id-ID"/>
        </w:rPr>
        <w:t>.</w:t>
      </w:r>
    </w:p>
    <w:p w:rsidR="00F22BF6" w:rsidRDefault="00C57F34" w:rsidP="00CD3EE9">
      <w:pPr>
        <w:pStyle w:val="ListParagraph"/>
        <w:numPr>
          <w:ilvl w:val="0"/>
          <w:numId w:val="4"/>
        </w:numPr>
        <w:spacing w:before="40" w:after="40"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Untuk mengetahui</w:t>
      </w:r>
      <w:r w:rsidR="008B1AE6">
        <w:rPr>
          <w:rFonts w:asciiTheme="majorBidi" w:hAnsiTheme="majorBidi" w:cstheme="majorBidi"/>
          <w:sz w:val="24"/>
          <w:szCs w:val="24"/>
          <w:lang w:val="id-ID"/>
        </w:rPr>
        <w:t xml:space="preserve"> seberapa besar pengaruh penerbitan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00713C15">
        <w:rPr>
          <w:rFonts w:asciiTheme="majorBidi" w:hAnsiTheme="majorBidi" w:cstheme="majorBidi"/>
          <w:sz w:val="24"/>
          <w:szCs w:val="24"/>
          <w:lang w:val="id-ID"/>
        </w:rPr>
        <w:t xml:space="preserve"> </w:t>
      </w:r>
      <w:r w:rsidR="008B1AE6">
        <w:rPr>
          <w:rFonts w:asciiTheme="majorBidi" w:hAnsiTheme="majorBidi" w:cstheme="majorBidi"/>
          <w:sz w:val="24"/>
          <w:szCs w:val="24"/>
          <w:lang w:val="id-ID"/>
        </w:rPr>
        <w:t>(</w:t>
      </w:r>
      <w:r w:rsidR="008E4750" w:rsidRPr="008E4750">
        <w:rPr>
          <w:rFonts w:asciiTheme="majorBidi" w:hAnsiTheme="majorBidi" w:cstheme="majorBidi"/>
          <w:i/>
          <w:iCs/>
          <w:sz w:val="24"/>
          <w:szCs w:val="24"/>
          <w:lang w:val="id-ID"/>
        </w:rPr>
        <w:t>sukuk</w:t>
      </w:r>
      <w:r w:rsidR="008B1AE6">
        <w:rPr>
          <w:rFonts w:asciiTheme="majorBidi" w:hAnsiTheme="majorBidi" w:cstheme="majorBidi"/>
          <w:sz w:val="24"/>
          <w:szCs w:val="24"/>
          <w:lang w:val="id-ID"/>
        </w:rPr>
        <w:t xml:space="preserve">) terhadap </w:t>
      </w:r>
      <w:r w:rsidR="00EF5514">
        <w:rPr>
          <w:rFonts w:asciiTheme="majorBidi" w:hAnsiTheme="majorBidi" w:cstheme="majorBidi"/>
          <w:sz w:val="24"/>
          <w:szCs w:val="24"/>
          <w:lang w:val="id-ID"/>
        </w:rPr>
        <w:t>ROA</w:t>
      </w:r>
      <w:r w:rsidR="008B5BF2">
        <w:rPr>
          <w:rFonts w:asciiTheme="majorBidi" w:hAnsiTheme="majorBidi" w:cstheme="majorBidi"/>
          <w:sz w:val="24"/>
          <w:szCs w:val="24"/>
          <w:lang w:val="id-ID"/>
        </w:rPr>
        <w:t xml:space="preserve"> </w:t>
      </w:r>
      <w:r w:rsidR="00D765D1">
        <w:rPr>
          <w:rFonts w:asciiTheme="majorBidi" w:hAnsiTheme="majorBidi" w:cstheme="majorBidi"/>
          <w:sz w:val="24"/>
          <w:szCs w:val="24"/>
          <w:lang w:val="id-ID"/>
        </w:rPr>
        <w:t>Bank M</w:t>
      </w:r>
      <w:r w:rsidR="008B1AE6">
        <w:rPr>
          <w:rFonts w:asciiTheme="majorBidi" w:hAnsiTheme="majorBidi" w:cstheme="majorBidi"/>
          <w:sz w:val="24"/>
          <w:szCs w:val="24"/>
          <w:lang w:val="id-ID"/>
        </w:rPr>
        <w:t>uamalat</w:t>
      </w:r>
      <w:r w:rsidR="00D765D1">
        <w:rPr>
          <w:rFonts w:asciiTheme="majorBidi" w:hAnsiTheme="majorBidi" w:cstheme="majorBidi"/>
          <w:sz w:val="24"/>
          <w:szCs w:val="24"/>
          <w:lang w:val="id-ID"/>
        </w:rPr>
        <w:t xml:space="preserve"> Indonesia periode 2012-2017</w:t>
      </w:r>
      <w:r>
        <w:rPr>
          <w:rFonts w:asciiTheme="majorBidi" w:hAnsiTheme="majorBidi" w:cstheme="majorBidi"/>
          <w:sz w:val="24"/>
          <w:szCs w:val="24"/>
          <w:lang w:val="id-ID"/>
        </w:rPr>
        <w:t xml:space="preserve">. </w:t>
      </w:r>
    </w:p>
    <w:p w:rsidR="00EF5514" w:rsidRPr="00F22BF6" w:rsidRDefault="00EF5514" w:rsidP="00CD3EE9">
      <w:pPr>
        <w:pStyle w:val="ListParagraph"/>
        <w:spacing w:before="40" w:after="40" w:line="480" w:lineRule="auto"/>
        <w:ind w:left="0"/>
        <w:jc w:val="both"/>
        <w:rPr>
          <w:rFonts w:asciiTheme="majorBidi" w:hAnsiTheme="majorBidi" w:cstheme="majorBidi"/>
          <w:sz w:val="24"/>
          <w:szCs w:val="24"/>
          <w:lang w:val="id-ID"/>
        </w:rPr>
      </w:pPr>
    </w:p>
    <w:p w:rsidR="00621FD9"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Manfaat Penelitian</w:t>
      </w:r>
    </w:p>
    <w:p w:rsidR="00621FD9" w:rsidRDefault="00621FD9" w:rsidP="00CD3EE9">
      <w:pPr>
        <w:pStyle w:val="ListParagraph"/>
        <w:spacing w:before="40" w:after="4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Dari tujuan diatas dapat diambil manfaat sebagai berikut:</w:t>
      </w:r>
    </w:p>
    <w:p w:rsidR="00F85B10" w:rsidRDefault="00F85B10" w:rsidP="00CD3EE9">
      <w:pPr>
        <w:pStyle w:val="ListParagraph"/>
        <w:numPr>
          <w:ilvl w:val="0"/>
          <w:numId w:val="5"/>
        </w:numPr>
        <w:spacing w:before="40" w:after="40" w:line="480" w:lineRule="auto"/>
        <w:ind w:left="426" w:hanging="425"/>
        <w:jc w:val="both"/>
        <w:rPr>
          <w:rFonts w:asciiTheme="majorBidi" w:hAnsiTheme="majorBidi" w:cstheme="majorBidi"/>
          <w:sz w:val="24"/>
          <w:szCs w:val="24"/>
          <w:lang w:val="id-ID"/>
        </w:rPr>
      </w:pPr>
      <w:r>
        <w:rPr>
          <w:rFonts w:asciiTheme="majorBidi" w:hAnsiTheme="majorBidi" w:cstheme="majorBidi"/>
          <w:sz w:val="24"/>
          <w:szCs w:val="24"/>
          <w:lang w:val="id-ID"/>
        </w:rPr>
        <w:t>Bagi Mahasiswa, dapat m</w:t>
      </w:r>
      <w:r w:rsidRPr="00F85B10">
        <w:rPr>
          <w:rFonts w:asciiTheme="majorBidi" w:hAnsiTheme="majorBidi" w:cstheme="majorBidi"/>
          <w:sz w:val="24"/>
          <w:szCs w:val="24"/>
          <w:lang w:val="id-ID"/>
        </w:rPr>
        <w:t>emberikan pemahaman mendalam seputar penerbitan obligasi syariah  (</w:t>
      </w:r>
      <w:r w:rsidRPr="00F85B10">
        <w:rPr>
          <w:rFonts w:asciiTheme="majorBidi" w:hAnsiTheme="majorBidi" w:cstheme="majorBidi"/>
          <w:i/>
          <w:iCs/>
          <w:sz w:val="24"/>
          <w:szCs w:val="24"/>
          <w:lang w:val="id-ID"/>
        </w:rPr>
        <w:t>sukuk</w:t>
      </w:r>
      <w:r>
        <w:rPr>
          <w:rFonts w:asciiTheme="majorBidi" w:hAnsiTheme="majorBidi" w:cstheme="majorBidi"/>
          <w:sz w:val="24"/>
          <w:szCs w:val="24"/>
          <w:lang w:val="id-ID"/>
        </w:rPr>
        <w:t>),</w:t>
      </w:r>
      <w:r w:rsidRPr="00F85B10">
        <w:rPr>
          <w:rFonts w:asciiTheme="majorBidi" w:hAnsiTheme="majorBidi" w:cstheme="majorBidi"/>
          <w:sz w:val="24"/>
          <w:szCs w:val="24"/>
          <w:lang w:val="id-ID"/>
        </w:rPr>
        <w:t xml:space="preserve"> </w:t>
      </w:r>
      <w:r w:rsidR="00245D5A">
        <w:rPr>
          <w:rFonts w:asciiTheme="majorBidi" w:hAnsiTheme="majorBidi" w:cstheme="majorBidi"/>
          <w:sz w:val="24"/>
          <w:szCs w:val="24"/>
          <w:lang w:val="id-ID"/>
        </w:rPr>
        <w:t>ROA</w:t>
      </w:r>
      <w:r>
        <w:rPr>
          <w:rFonts w:asciiTheme="majorBidi" w:hAnsiTheme="majorBidi" w:cstheme="majorBidi"/>
          <w:sz w:val="24"/>
          <w:szCs w:val="24"/>
          <w:lang w:val="id-ID"/>
        </w:rPr>
        <w:t xml:space="preserve"> serta pengaruhnya</w:t>
      </w:r>
      <w:r w:rsidRPr="00F85B10">
        <w:rPr>
          <w:rFonts w:asciiTheme="majorBidi" w:hAnsiTheme="majorBidi" w:cstheme="majorBidi"/>
          <w:sz w:val="24"/>
          <w:szCs w:val="24"/>
          <w:lang w:val="id-ID"/>
        </w:rPr>
        <w:t xml:space="preserve">. </w:t>
      </w:r>
    </w:p>
    <w:p w:rsidR="00F85B10" w:rsidRPr="00F85B10" w:rsidRDefault="00F85B10" w:rsidP="00CD3EE9">
      <w:pPr>
        <w:pStyle w:val="ListParagraph"/>
        <w:numPr>
          <w:ilvl w:val="0"/>
          <w:numId w:val="5"/>
        </w:numPr>
        <w:spacing w:before="40" w:after="40" w:line="480" w:lineRule="auto"/>
        <w:ind w:left="42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w:t>
      </w:r>
      <w:r w:rsidR="00EB1A31">
        <w:rPr>
          <w:rFonts w:asciiTheme="majorBidi" w:hAnsiTheme="majorBidi" w:cstheme="majorBidi"/>
          <w:sz w:val="24"/>
          <w:szCs w:val="24"/>
          <w:lang w:val="id-ID"/>
        </w:rPr>
        <w:t>Praktisi dan Investor,</w:t>
      </w:r>
      <w:r>
        <w:rPr>
          <w:rFonts w:asciiTheme="majorBidi" w:hAnsiTheme="majorBidi" w:cstheme="majorBidi"/>
          <w:sz w:val="24"/>
          <w:szCs w:val="24"/>
          <w:lang w:val="id-ID"/>
        </w:rPr>
        <w:t xml:space="preserve"> </w:t>
      </w:r>
      <w:r w:rsidR="00EB1A31">
        <w:rPr>
          <w:rFonts w:asciiTheme="majorBidi" w:hAnsiTheme="majorBidi" w:cstheme="majorBidi"/>
          <w:sz w:val="24"/>
          <w:szCs w:val="24"/>
          <w:lang w:val="id-ID"/>
        </w:rPr>
        <w:t>m</w:t>
      </w:r>
      <w:r w:rsidRPr="00F85B10">
        <w:rPr>
          <w:rFonts w:asciiTheme="majorBidi" w:hAnsiTheme="majorBidi" w:cstheme="majorBidi"/>
          <w:sz w:val="24"/>
          <w:szCs w:val="24"/>
          <w:lang w:val="id-ID"/>
        </w:rPr>
        <w:t xml:space="preserve">emberikan wawasan dan pengetahuan seputar </w:t>
      </w:r>
      <w:r w:rsidR="00245D5A">
        <w:rPr>
          <w:rFonts w:asciiTheme="majorBidi" w:hAnsiTheme="majorBidi" w:cstheme="majorBidi"/>
          <w:sz w:val="24"/>
          <w:szCs w:val="24"/>
          <w:lang w:val="id-ID"/>
        </w:rPr>
        <w:t>ROA</w:t>
      </w:r>
      <w:r w:rsidRPr="00F85B10">
        <w:rPr>
          <w:rFonts w:asciiTheme="majorBidi" w:hAnsiTheme="majorBidi" w:cstheme="majorBidi"/>
          <w:sz w:val="24"/>
          <w:szCs w:val="24"/>
          <w:lang w:val="id-ID"/>
        </w:rPr>
        <w:t xml:space="preserve"> sebagai indikator investor dan faktor utama dalam mengukur tingkat kinerja bank.</w:t>
      </w:r>
    </w:p>
    <w:p w:rsidR="00E32448" w:rsidRDefault="00F85B10" w:rsidP="00CD3EE9">
      <w:pPr>
        <w:pStyle w:val="ListParagraph"/>
        <w:numPr>
          <w:ilvl w:val="0"/>
          <w:numId w:val="5"/>
        </w:numPr>
        <w:spacing w:before="40" w:after="40" w:line="480" w:lineRule="auto"/>
        <w:ind w:left="42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Akademisi, </w:t>
      </w:r>
      <w:r w:rsidR="00EB1A31">
        <w:rPr>
          <w:rFonts w:asciiTheme="majorBidi" w:hAnsiTheme="majorBidi" w:cstheme="majorBidi"/>
          <w:sz w:val="24"/>
          <w:szCs w:val="24"/>
          <w:lang w:val="id-ID"/>
        </w:rPr>
        <w:t>m</w:t>
      </w:r>
      <w:r w:rsidRPr="00F85B10">
        <w:rPr>
          <w:rFonts w:asciiTheme="majorBidi" w:hAnsiTheme="majorBidi" w:cstheme="majorBidi"/>
          <w:sz w:val="24"/>
          <w:szCs w:val="24"/>
          <w:lang w:val="id-ID"/>
        </w:rPr>
        <w:t>e</w:t>
      </w:r>
      <w:r w:rsidR="00EB1A31">
        <w:rPr>
          <w:rFonts w:asciiTheme="majorBidi" w:hAnsiTheme="majorBidi" w:cstheme="majorBidi"/>
          <w:sz w:val="24"/>
          <w:szCs w:val="24"/>
          <w:lang w:val="id-ID"/>
        </w:rPr>
        <w:t>m</w:t>
      </w:r>
      <w:r w:rsidRPr="00F85B10">
        <w:rPr>
          <w:rFonts w:asciiTheme="majorBidi" w:hAnsiTheme="majorBidi" w:cstheme="majorBidi"/>
          <w:sz w:val="24"/>
          <w:szCs w:val="24"/>
          <w:lang w:val="id-ID"/>
        </w:rPr>
        <w:t xml:space="preserve">perluas kepustakaan </w:t>
      </w:r>
      <w:r w:rsidR="00EB1A31">
        <w:rPr>
          <w:rFonts w:asciiTheme="majorBidi" w:hAnsiTheme="majorBidi" w:cstheme="majorBidi"/>
          <w:sz w:val="24"/>
          <w:szCs w:val="24"/>
          <w:lang w:val="id-ID"/>
        </w:rPr>
        <w:t>dan referensi seputar obligasi syariah (</w:t>
      </w:r>
      <w:r w:rsidR="00EB1A31">
        <w:rPr>
          <w:rFonts w:asciiTheme="majorBidi" w:hAnsiTheme="majorBidi" w:cstheme="majorBidi"/>
          <w:i/>
          <w:iCs/>
          <w:sz w:val="24"/>
          <w:szCs w:val="24"/>
          <w:lang w:val="id-ID"/>
        </w:rPr>
        <w:t>sukuk</w:t>
      </w:r>
      <w:r w:rsidR="00EB1A31">
        <w:rPr>
          <w:rFonts w:asciiTheme="majorBidi" w:hAnsiTheme="majorBidi" w:cstheme="majorBidi"/>
          <w:sz w:val="24"/>
          <w:szCs w:val="24"/>
          <w:lang w:val="id-ID"/>
        </w:rPr>
        <w:t xml:space="preserve">) guna ikut andil dalam pengembangan dan kemajuan ekonomi Islam. </w:t>
      </w:r>
    </w:p>
    <w:p w:rsidR="00CD3EE9" w:rsidRPr="00CD3EE9" w:rsidRDefault="00CD3EE9" w:rsidP="00CD3EE9">
      <w:pPr>
        <w:spacing w:before="40" w:after="40" w:line="480" w:lineRule="auto"/>
        <w:jc w:val="both"/>
        <w:rPr>
          <w:rFonts w:asciiTheme="majorBidi" w:hAnsiTheme="majorBidi" w:cstheme="majorBidi"/>
          <w:sz w:val="24"/>
          <w:szCs w:val="24"/>
          <w:lang w:val="id-ID"/>
        </w:rPr>
      </w:pPr>
    </w:p>
    <w:p w:rsidR="00647075" w:rsidRDefault="00621FD9" w:rsidP="00CD3EE9">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1E2258">
        <w:rPr>
          <w:rFonts w:asciiTheme="majorBidi" w:hAnsiTheme="majorBidi" w:cstheme="majorBidi"/>
          <w:b/>
          <w:bCs/>
          <w:sz w:val="24"/>
          <w:szCs w:val="24"/>
          <w:lang w:val="id-ID"/>
        </w:rPr>
        <w:t>Sistematika Pembahasan</w:t>
      </w:r>
    </w:p>
    <w:p w:rsidR="00647075" w:rsidRPr="00647075" w:rsidRDefault="00647075" w:rsidP="00CD3EE9">
      <w:pPr>
        <w:pStyle w:val="ListParagraph"/>
        <w:spacing w:before="40" w:after="40" w:line="480" w:lineRule="auto"/>
        <w:ind w:left="0" w:firstLine="720"/>
        <w:jc w:val="both"/>
        <w:rPr>
          <w:rFonts w:asciiTheme="majorBidi" w:hAnsiTheme="majorBidi" w:cstheme="majorBidi"/>
          <w:b/>
          <w:bCs/>
          <w:sz w:val="24"/>
          <w:szCs w:val="24"/>
          <w:lang w:val="id-ID"/>
        </w:rPr>
      </w:pPr>
      <w:r w:rsidRPr="00647075">
        <w:rPr>
          <w:rFonts w:asciiTheme="majorBidi" w:hAnsiTheme="majorBidi" w:cstheme="majorBidi"/>
          <w:sz w:val="24"/>
          <w:szCs w:val="24"/>
          <w:lang w:val="id-ID"/>
        </w:rPr>
        <w:t>Adapun sistematika pembahasan yang buat pada penelitian ini adalah sebagai berikut:</w:t>
      </w:r>
    </w:p>
    <w:p w:rsidR="00AE1CD4" w:rsidRPr="00D14749" w:rsidRDefault="006B5414" w:rsidP="00CD3EE9">
      <w:pPr>
        <w:spacing w:before="40" w:after="40" w:line="480" w:lineRule="auto"/>
        <w:jc w:val="both"/>
        <w:rPr>
          <w:rFonts w:asciiTheme="majorBidi" w:hAnsiTheme="majorBidi" w:cstheme="majorBidi"/>
          <w:sz w:val="24"/>
          <w:szCs w:val="24"/>
          <w:lang w:val="id-ID"/>
        </w:rPr>
      </w:pPr>
      <w:r w:rsidRPr="00B85FFF">
        <w:rPr>
          <w:rFonts w:asciiTheme="majorBidi" w:hAnsiTheme="majorBidi" w:cstheme="majorBidi"/>
          <w:b/>
          <w:bCs/>
          <w:sz w:val="24"/>
          <w:szCs w:val="24"/>
          <w:lang w:val="id-ID"/>
        </w:rPr>
        <w:lastRenderedPageBreak/>
        <w:t>Bab</w:t>
      </w:r>
      <w:r w:rsidR="00647075" w:rsidRPr="00B85FFF">
        <w:rPr>
          <w:rFonts w:asciiTheme="majorBidi" w:hAnsiTheme="majorBidi" w:cstheme="majorBidi"/>
          <w:b/>
          <w:bCs/>
          <w:sz w:val="24"/>
          <w:szCs w:val="24"/>
          <w:lang w:val="id-ID"/>
        </w:rPr>
        <w:t xml:space="preserve"> I </w:t>
      </w:r>
      <w:r w:rsidRPr="00B85FFF">
        <w:rPr>
          <w:rFonts w:asciiTheme="majorBidi" w:hAnsiTheme="majorBidi" w:cstheme="majorBidi"/>
          <w:b/>
          <w:bCs/>
          <w:sz w:val="24"/>
          <w:szCs w:val="24"/>
          <w:lang w:val="id-ID"/>
        </w:rPr>
        <w:t>Pendahuluan</w:t>
      </w:r>
      <w:r w:rsidR="00647075" w:rsidRPr="00B85FFF">
        <w:rPr>
          <w:rFonts w:asciiTheme="majorBidi" w:hAnsiTheme="majorBidi" w:cstheme="majorBidi"/>
          <w:b/>
          <w:bCs/>
          <w:sz w:val="24"/>
          <w:szCs w:val="24"/>
          <w:lang w:val="id-ID"/>
        </w:rPr>
        <w:t>.</w:t>
      </w:r>
      <w:r w:rsidR="00647075">
        <w:rPr>
          <w:rFonts w:asciiTheme="majorBidi" w:hAnsiTheme="majorBidi" w:cstheme="majorBidi"/>
          <w:sz w:val="24"/>
          <w:szCs w:val="24"/>
          <w:lang w:val="id-ID"/>
        </w:rPr>
        <w:t xml:space="preserve"> </w:t>
      </w:r>
      <w:r>
        <w:rPr>
          <w:rFonts w:asciiTheme="majorBidi" w:hAnsiTheme="majorBidi" w:cstheme="majorBidi"/>
          <w:sz w:val="24"/>
          <w:szCs w:val="24"/>
          <w:lang w:val="id-ID"/>
        </w:rPr>
        <w:t>Bab</w:t>
      </w:r>
      <w:r w:rsidRPr="00D14749">
        <w:rPr>
          <w:rFonts w:asciiTheme="majorBidi" w:hAnsiTheme="majorBidi" w:cstheme="majorBidi"/>
          <w:sz w:val="24"/>
          <w:szCs w:val="24"/>
          <w:lang w:val="id-ID"/>
        </w:rPr>
        <w:t xml:space="preserve"> ini menjelaskan latar belakang pemilihan judul penelitian. Selanjutnya bab ini menguraikan batasan dan rumusan masalah yang dihadapi dari penerbitan </w:t>
      </w:r>
      <w:r w:rsidR="005E66BA">
        <w:rPr>
          <w:rFonts w:asciiTheme="majorBidi" w:hAnsiTheme="majorBidi" w:cstheme="majorBidi"/>
          <w:sz w:val="24"/>
          <w:szCs w:val="24"/>
          <w:lang w:val="id-ID"/>
        </w:rPr>
        <w:t>o</w:t>
      </w:r>
      <w:r w:rsidR="000651AF" w:rsidRPr="000651AF">
        <w:rPr>
          <w:rFonts w:asciiTheme="majorBidi" w:hAnsiTheme="majorBidi" w:cstheme="majorBidi"/>
          <w:sz w:val="24"/>
          <w:szCs w:val="24"/>
          <w:lang w:val="id-ID"/>
        </w:rPr>
        <w:t xml:space="preserve">bligasi syariah </w:t>
      </w:r>
      <w:r w:rsidRPr="00D14749">
        <w:rPr>
          <w:rFonts w:asciiTheme="majorBidi" w:hAnsiTheme="majorBidi" w:cstheme="majorBidi"/>
          <w:sz w:val="24"/>
          <w:szCs w:val="24"/>
          <w:lang w:val="id-ID"/>
        </w:rPr>
        <w:t>(</w:t>
      </w:r>
      <w:r w:rsidRPr="008E4750">
        <w:rPr>
          <w:rFonts w:asciiTheme="majorBidi" w:hAnsiTheme="majorBidi" w:cstheme="majorBidi"/>
          <w:i/>
          <w:iCs/>
          <w:sz w:val="24"/>
          <w:szCs w:val="24"/>
          <w:lang w:val="id-ID"/>
        </w:rPr>
        <w:t>sukuk</w:t>
      </w:r>
      <w:r w:rsidRPr="00D14749">
        <w:rPr>
          <w:rFonts w:asciiTheme="majorBidi" w:hAnsiTheme="majorBidi" w:cstheme="majorBidi"/>
          <w:sz w:val="24"/>
          <w:szCs w:val="24"/>
          <w:lang w:val="id-ID"/>
        </w:rPr>
        <w:t>) ter</w:t>
      </w:r>
      <w:r>
        <w:rPr>
          <w:rFonts w:asciiTheme="majorBidi" w:hAnsiTheme="majorBidi" w:cstheme="majorBidi"/>
          <w:sz w:val="24"/>
          <w:szCs w:val="24"/>
          <w:lang w:val="id-ID"/>
        </w:rPr>
        <w:t>utama mengenai profitabilitas (</w:t>
      </w:r>
      <w:r w:rsidR="002A6583">
        <w:rPr>
          <w:rFonts w:asciiTheme="majorBidi" w:hAnsiTheme="majorBidi" w:cstheme="majorBidi"/>
          <w:sz w:val="24"/>
          <w:szCs w:val="24"/>
          <w:lang w:val="id-ID"/>
        </w:rPr>
        <w:t>ROA) guna mengetahui kinerja Bank Muamalat Indonesia</w:t>
      </w:r>
      <w:r w:rsidRPr="00D14749">
        <w:rPr>
          <w:rFonts w:asciiTheme="majorBidi" w:hAnsiTheme="majorBidi" w:cstheme="majorBidi"/>
          <w:sz w:val="24"/>
          <w:szCs w:val="24"/>
          <w:lang w:val="id-ID"/>
        </w:rPr>
        <w:t>.</w:t>
      </w:r>
    </w:p>
    <w:p w:rsidR="00F22BF6" w:rsidRPr="00D14749" w:rsidRDefault="00FD4B86" w:rsidP="00CD3EE9">
      <w:pPr>
        <w:spacing w:before="40" w:after="40" w:line="480" w:lineRule="auto"/>
        <w:jc w:val="both"/>
        <w:rPr>
          <w:rFonts w:asciiTheme="majorBidi" w:hAnsiTheme="majorBidi" w:cstheme="majorBidi"/>
          <w:sz w:val="24"/>
          <w:szCs w:val="24"/>
          <w:lang w:val="id-ID"/>
        </w:rPr>
      </w:pPr>
      <w:r w:rsidRPr="00B85FFF">
        <w:rPr>
          <w:rFonts w:asciiTheme="majorBidi" w:hAnsiTheme="majorBidi" w:cstheme="majorBidi"/>
          <w:b/>
          <w:bCs/>
          <w:sz w:val="24"/>
          <w:szCs w:val="24"/>
          <w:lang w:val="id-ID"/>
        </w:rPr>
        <w:t>Bab</w:t>
      </w:r>
      <w:r w:rsidR="004B259D" w:rsidRPr="00B85FFF">
        <w:rPr>
          <w:rFonts w:asciiTheme="majorBidi" w:hAnsiTheme="majorBidi" w:cstheme="majorBidi"/>
          <w:b/>
          <w:bCs/>
          <w:sz w:val="24"/>
          <w:szCs w:val="24"/>
          <w:lang w:val="id-ID"/>
        </w:rPr>
        <w:t xml:space="preserve"> II </w:t>
      </w:r>
      <w:r w:rsidR="004E7CBE" w:rsidRPr="00B85FFF">
        <w:rPr>
          <w:rFonts w:asciiTheme="majorBidi" w:hAnsiTheme="majorBidi" w:cstheme="majorBidi"/>
          <w:b/>
          <w:bCs/>
          <w:sz w:val="24"/>
          <w:szCs w:val="24"/>
          <w:lang w:val="id-ID"/>
        </w:rPr>
        <w:t>Kajian Pustaka</w:t>
      </w:r>
      <w:r w:rsidR="00647075" w:rsidRPr="00B85FFF">
        <w:rPr>
          <w:rFonts w:asciiTheme="majorBidi" w:hAnsiTheme="majorBidi" w:cstheme="majorBidi"/>
          <w:b/>
          <w:bCs/>
          <w:sz w:val="24"/>
          <w:szCs w:val="24"/>
          <w:lang w:val="id-ID"/>
        </w:rPr>
        <w:t>.</w:t>
      </w:r>
      <w:r w:rsidR="00647075">
        <w:rPr>
          <w:rFonts w:asciiTheme="majorBidi" w:hAnsiTheme="majorBidi" w:cstheme="majorBidi"/>
          <w:sz w:val="24"/>
          <w:szCs w:val="24"/>
          <w:lang w:val="id-ID"/>
        </w:rPr>
        <w:t xml:space="preserve"> </w:t>
      </w:r>
      <w:r w:rsidR="00621FD9" w:rsidRPr="00D14749">
        <w:rPr>
          <w:rFonts w:asciiTheme="majorBidi" w:hAnsiTheme="majorBidi" w:cstheme="majorBidi"/>
          <w:sz w:val="24"/>
          <w:szCs w:val="24"/>
          <w:lang w:val="id-ID"/>
        </w:rPr>
        <w:t>Bab ini akan membahas teori terkait tinjauan literatur dan teori-teori yang berkaitan dan menjadi acuan dalam pembahasan materi penelitian.</w:t>
      </w:r>
      <w:r w:rsidR="004B259D">
        <w:rPr>
          <w:rFonts w:asciiTheme="majorBidi" w:hAnsiTheme="majorBidi" w:cstheme="majorBidi"/>
          <w:sz w:val="24"/>
          <w:szCs w:val="24"/>
          <w:lang w:val="id-ID"/>
        </w:rPr>
        <w:t xml:space="preserve"> P</w:t>
      </w:r>
      <w:r w:rsidR="00647075">
        <w:rPr>
          <w:rFonts w:asciiTheme="majorBidi" w:hAnsiTheme="majorBidi" w:cstheme="majorBidi"/>
          <w:sz w:val="24"/>
          <w:szCs w:val="24"/>
          <w:lang w:val="id-ID"/>
        </w:rPr>
        <w:t xml:space="preserve">embahasan seputar bank syariah, Sukuk, </w:t>
      </w:r>
      <w:r w:rsidR="00245D5A">
        <w:rPr>
          <w:rFonts w:asciiTheme="majorBidi" w:hAnsiTheme="majorBidi" w:cstheme="majorBidi"/>
          <w:sz w:val="24"/>
          <w:szCs w:val="24"/>
          <w:lang w:val="id-ID"/>
        </w:rPr>
        <w:t>ROA</w:t>
      </w:r>
      <w:r w:rsidR="002A6583">
        <w:rPr>
          <w:rFonts w:asciiTheme="majorBidi" w:hAnsiTheme="majorBidi" w:cstheme="majorBidi"/>
          <w:sz w:val="24"/>
          <w:szCs w:val="24"/>
          <w:lang w:val="id-ID"/>
        </w:rPr>
        <w:t xml:space="preserve"> dan lain-lain. </w:t>
      </w:r>
    </w:p>
    <w:p w:rsidR="00621FD9" w:rsidRPr="00D14749" w:rsidRDefault="00FD4B86" w:rsidP="00CD3EE9">
      <w:pPr>
        <w:spacing w:before="40" w:after="40" w:line="480" w:lineRule="auto"/>
        <w:jc w:val="both"/>
        <w:rPr>
          <w:rFonts w:asciiTheme="majorBidi" w:hAnsiTheme="majorBidi" w:cstheme="majorBidi"/>
          <w:sz w:val="24"/>
          <w:szCs w:val="24"/>
          <w:lang w:val="id-ID"/>
        </w:rPr>
      </w:pPr>
      <w:r w:rsidRPr="00B85FFF">
        <w:rPr>
          <w:rFonts w:asciiTheme="majorBidi" w:hAnsiTheme="majorBidi" w:cstheme="majorBidi"/>
          <w:b/>
          <w:bCs/>
          <w:sz w:val="24"/>
          <w:szCs w:val="24"/>
          <w:lang w:val="id-ID"/>
        </w:rPr>
        <w:t>Bab</w:t>
      </w:r>
      <w:r w:rsidR="004B259D" w:rsidRPr="00B85FFF">
        <w:rPr>
          <w:rFonts w:asciiTheme="majorBidi" w:hAnsiTheme="majorBidi" w:cstheme="majorBidi"/>
          <w:b/>
          <w:bCs/>
          <w:sz w:val="24"/>
          <w:szCs w:val="24"/>
          <w:lang w:val="id-ID"/>
        </w:rPr>
        <w:t xml:space="preserve"> III </w:t>
      </w:r>
      <w:r w:rsidR="003A7134" w:rsidRPr="00B85FFF">
        <w:rPr>
          <w:rFonts w:asciiTheme="majorBidi" w:hAnsiTheme="majorBidi" w:cstheme="majorBidi"/>
          <w:b/>
          <w:bCs/>
          <w:sz w:val="24"/>
          <w:szCs w:val="24"/>
          <w:lang w:val="id-ID"/>
        </w:rPr>
        <w:t>Metode</w:t>
      </w:r>
      <w:r w:rsidRPr="00B85FFF">
        <w:rPr>
          <w:rFonts w:asciiTheme="majorBidi" w:hAnsiTheme="majorBidi" w:cstheme="majorBidi"/>
          <w:b/>
          <w:bCs/>
          <w:sz w:val="24"/>
          <w:szCs w:val="24"/>
          <w:lang w:val="id-ID"/>
        </w:rPr>
        <w:t>logi Penelitian</w:t>
      </w:r>
      <w:r w:rsidR="00647075" w:rsidRPr="00B85FFF">
        <w:rPr>
          <w:rFonts w:asciiTheme="majorBidi" w:hAnsiTheme="majorBidi" w:cstheme="majorBidi"/>
          <w:b/>
          <w:bCs/>
          <w:sz w:val="24"/>
          <w:szCs w:val="24"/>
          <w:lang w:val="id-ID"/>
        </w:rPr>
        <w:t>.</w:t>
      </w:r>
      <w:r w:rsidR="00647075">
        <w:rPr>
          <w:rFonts w:asciiTheme="majorBidi" w:hAnsiTheme="majorBidi" w:cstheme="majorBidi"/>
          <w:sz w:val="24"/>
          <w:szCs w:val="24"/>
          <w:lang w:val="id-ID"/>
        </w:rPr>
        <w:t xml:space="preserve"> </w:t>
      </w:r>
      <w:r w:rsidR="00621FD9" w:rsidRPr="00D14749">
        <w:rPr>
          <w:rFonts w:asciiTheme="majorBidi" w:hAnsiTheme="majorBidi" w:cstheme="majorBidi"/>
          <w:sz w:val="24"/>
          <w:szCs w:val="24"/>
          <w:lang w:val="id-ID"/>
        </w:rPr>
        <w:t>Bab ini membahas tentang metode yang digunakan serta menjelaskan alat analisis yang digunakan penulis dalam menjelaskan penelitian yang dilakukan.</w:t>
      </w:r>
    </w:p>
    <w:p w:rsidR="00647075" w:rsidRDefault="00FD4B86" w:rsidP="00CD3EE9">
      <w:pPr>
        <w:spacing w:before="40" w:after="40" w:line="480" w:lineRule="auto"/>
        <w:jc w:val="both"/>
        <w:rPr>
          <w:rFonts w:asciiTheme="majorBidi" w:hAnsiTheme="majorBidi" w:cstheme="majorBidi"/>
          <w:sz w:val="24"/>
          <w:szCs w:val="24"/>
          <w:lang w:val="id-ID"/>
        </w:rPr>
      </w:pPr>
      <w:r w:rsidRPr="00B85FFF">
        <w:rPr>
          <w:rFonts w:asciiTheme="majorBidi" w:hAnsiTheme="majorBidi" w:cstheme="majorBidi"/>
          <w:b/>
          <w:bCs/>
          <w:sz w:val="24"/>
          <w:szCs w:val="24"/>
          <w:lang w:val="id-ID"/>
        </w:rPr>
        <w:t>Bab</w:t>
      </w:r>
      <w:r w:rsidR="004B259D" w:rsidRPr="00B85FFF">
        <w:rPr>
          <w:rFonts w:asciiTheme="majorBidi" w:hAnsiTheme="majorBidi" w:cstheme="majorBidi"/>
          <w:b/>
          <w:bCs/>
          <w:sz w:val="24"/>
          <w:szCs w:val="24"/>
          <w:lang w:val="id-ID"/>
        </w:rPr>
        <w:t xml:space="preserve"> IV </w:t>
      </w:r>
      <w:r w:rsidR="004E7CBE" w:rsidRPr="00B85FFF">
        <w:rPr>
          <w:rFonts w:asciiTheme="majorBidi" w:hAnsiTheme="majorBidi" w:cstheme="majorBidi"/>
          <w:b/>
          <w:bCs/>
          <w:sz w:val="24"/>
          <w:szCs w:val="24"/>
          <w:lang w:val="id-ID"/>
        </w:rPr>
        <w:t>Analisis Data dan Pembahasan</w:t>
      </w:r>
      <w:r w:rsidR="00647075" w:rsidRPr="00B85FFF">
        <w:rPr>
          <w:rFonts w:asciiTheme="majorBidi" w:hAnsiTheme="majorBidi" w:cstheme="majorBidi"/>
          <w:b/>
          <w:bCs/>
          <w:sz w:val="24"/>
          <w:szCs w:val="24"/>
          <w:lang w:val="id-ID"/>
        </w:rPr>
        <w:t>.</w:t>
      </w:r>
      <w:r w:rsidR="00647075">
        <w:rPr>
          <w:rFonts w:asciiTheme="majorBidi" w:hAnsiTheme="majorBidi" w:cstheme="majorBidi"/>
          <w:sz w:val="24"/>
          <w:szCs w:val="24"/>
          <w:lang w:val="id-ID"/>
        </w:rPr>
        <w:t xml:space="preserve"> </w:t>
      </w:r>
      <w:r w:rsidR="00621FD9" w:rsidRPr="00D14749">
        <w:rPr>
          <w:rFonts w:asciiTheme="majorBidi" w:hAnsiTheme="majorBidi" w:cstheme="majorBidi"/>
          <w:sz w:val="24"/>
          <w:szCs w:val="24"/>
          <w:lang w:val="id-ID"/>
        </w:rPr>
        <w:t>Bab ini merupakan analisis terhadap data penelitian yang dilakukan guna menjawab masalah penelitian.</w:t>
      </w:r>
    </w:p>
    <w:p w:rsidR="00092405" w:rsidRPr="007C0E73" w:rsidRDefault="00FD4B86" w:rsidP="00CD3EE9">
      <w:pPr>
        <w:spacing w:before="40" w:after="40" w:line="480" w:lineRule="auto"/>
        <w:jc w:val="both"/>
        <w:rPr>
          <w:rFonts w:asciiTheme="majorBidi" w:hAnsiTheme="majorBidi" w:cstheme="majorBidi"/>
          <w:sz w:val="24"/>
          <w:szCs w:val="24"/>
          <w:lang w:val="id-ID"/>
        </w:rPr>
      </w:pPr>
      <w:r w:rsidRPr="00B85FFF">
        <w:rPr>
          <w:rFonts w:asciiTheme="majorBidi" w:hAnsiTheme="majorBidi" w:cstheme="majorBidi"/>
          <w:b/>
          <w:bCs/>
          <w:sz w:val="24"/>
          <w:szCs w:val="24"/>
          <w:lang w:val="id-ID"/>
        </w:rPr>
        <w:t>Bab</w:t>
      </w:r>
      <w:r w:rsidR="004B259D" w:rsidRPr="00B85FFF">
        <w:rPr>
          <w:rFonts w:asciiTheme="majorBidi" w:hAnsiTheme="majorBidi" w:cstheme="majorBidi"/>
          <w:b/>
          <w:bCs/>
          <w:sz w:val="24"/>
          <w:szCs w:val="24"/>
          <w:lang w:val="id-ID"/>
        </w:rPr>
        <w:t xml:space="preserve"> V </w:t>
      </w:r>
      <w:r w:rsidRPr="00B85FFF">
        <w:rPr>
          <w:rFonts w:asciiTheme="majorBidi" w:hAnsiTheme="majorBidi" w:cstheme="majorBidi"/>
          <w:b/>
          <w:bCs/>
          <w:sz w:val="24"/>
          <w:szCs w:val="24"/>
          <w:lang w:val="id-ID"/>
        </w:rPr>
        <w:t>Penutup</w:t>
      </w:r>
      <w:r w:rsidR="00647075" w:rsidRPr="00B85FFF">
        <w:rPr>
          <w:rFonts w:asciiTheme="majorBidi" w:hAnsiTheme="majorBidi" w:cstheme="majorBidi"/>
          <w:b/>
          <w:bCs/>
          <w:sz w:val="24"/>
          <w:szCs w:val="24"/>
          <w:lang w:val="id-ID"/>
        </w:rPr>
        <w:t>.</w:t>
      </w:r>
      <w:r w:rsidR="00647075">
        <w:rPr>
          <w:rFonts w:asciiTheme="majorBidi" w:hAnsiTheme="majorBidi" w:cstheme="majorBidi"/>
          <w:sz w:val="24"/>
          <w:szCs w:val="24"/>
          <w:lang w:val="id-ID"/>
        </w:rPr>
        <w:t xml:space="preserve"> </w:t>
      </w:r>
      <w:r w:rsidR="004B259D">
        <w:rPr>
          <w:rFonts w:asciiTheme="majorBidi" w:hAnsiTheme="majorBidi" w:cstheme="majorBidi"/>
          <w:sz w:val="24"/>
          <w:szCs w:val="24"/>
          <w:lang w:val="id-ID"/>
        </w:rPr>
        <w:t>Berisi saran</w:t>
      </w:r>
      <w:r w:rsidR="005E66BA">
        <w:rPr>
          <w:rFonts w:asciiTheme="majorBidi" w:hAnsiTheme="majorBidi" w:cstheme="majorBidi"/>
          <w:sz w:val="24"/>
          <w:szCs w:val="24"/>
          <w:lang w:val="id-ID"/>
        </w:rPr>
        <w:t>-saran yang dapat diberikan sehu</w:t>
      </w:r>
      <w:r w:rsidR="00D7721A">
        <w:rPr>
          <w:rFonts w:asciiTheme="majorBidi" w:hAnsiTheme="majorBidi" w:cstheme="majorBidi"/>
          <w:sz w:val="24"/>
          <w:szCs w:val="24"/>
          <w:lang w:val="id-ID"/>
        </w:rPr>
        <w:t>b</w:t>
      </w:r>
      <w:r w:rsidR="005E66BA">
        <w:rPr>
          <w:rFonts w:asciiTheme="majorBidi" w:hAnsiTheme="majorBidi" w:cstheme="majorBidi"/>
          <w:sz w:val="24"/>
          <w:szCs w:val="24"/>
          <w:lang w:val="id-ID"/>
        </w:rPr>
        <w:t xml:space="preserve">ungan dengan penelitian </w:t>
      </w:r>
      <w:r w:rsidR="004B259D">
        <w:rPr>
          <w:rFonts w:asciiTheme="majorBidi" w:hAnsiTheme="majorBidi" w:cstheme="majorBidi"/>
          <w:sz w:val="24"/>
          <w:szCs w:val="24"/>
          <w:lang w:val="id-ID"/>
        </w:rPr>
        <w:t xml:space="preserve"> dan pesan dari penulis.</w:t>
      </w:r>
    </w:p>
    <w:sectPr w:rsidR="00092405" w:rsidRPr="007C0E73" w:rsidSect="00092405">
      <w:headerReference w:type="default" r:id="rId9"/>
      <w:headerReference w:type="firs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C5" w:rsidRDefault="003240C5" w:rsidP="00621FD9">
      <w:pPr>
        <w:spacing w:after="0" w:line="240" w:lineRule="auto"/>
      </w:pPr>
      <w:r>
        <w:separator/>
      </w:r>
    </w:p>
  </w:endnote>
  <w:endnote w:type="continuationSeparator" w:id="0">
    <w:p w:rsidR="003240C5" w:rsidRDefault="003240C5" w:rsidP="0062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80145"/>
      <w:docPartObj>
        <w:docPartGallery w:val="Page Numbers (Bottom of Page)"/>
        <w:docPartUnique/>
      </w:docPartObj>
    </w:sdtPr>
    <w:sdtEndPr>
      <w:rPr>
        <w:rFonts w:asciiTheme="majorBidi" w:hAnsiTheme="majorBidi" w:cstheme="majorBidi"/>
        <w:noProof/>
        <w:sz w:val="24"/>
        <w:szCs w:val="24"/>
      </w:rPr>
    </w:sdtEndPr>
    <w:sdtContent>
      <w:p w:rsidR="00E20590" w:rsidRPr="00E20590" w:rsidRDefault="00E20590">
        <w:pPr>
          <w:pStyle w:val="Footer"/>
          <w:jc w:val="center"/>
          <w:rPr>
            <w:rFonts w:asciiTheme="majorBidi" w:hAnsiTheme="majorBidi" w:cstheme="majorBidi"/>
            <w:sz w:val="24"/>
            <w:szCs w:val="24"/>
          </w:rPr>
        </w:pPr>
        <w:r w:rsidRPr="00E20590">
          <w:rPr>
            <w:rFonts w:asciiTheme="majorBidi" w:hAnsiTheme="majorBidi" w:cstheme="majorBidi"/>
            <w:sz w:val="24"/>
            <w:szCs w:val="24"/>
          </w:rPr>
          <w:fldChar w:fldCharType="begin"/>
        </w:r>
        <w:r w:rsidRPr="00E20590">
          <w:rPr>
            <w:rFonts w:asciiTheme="majorBidi" w:hAnsiTheme="majorBidi" w:cstheme="majorBidi"/>
            <w:sz w:val="24"/>
            <w:szCs w:val="24"/>
          </w:rPr>
          <w:instrText xml:space="preserve"> PAGE   \* MERGEFORMAT </w:instrText>
        </w:r>
        <w:r w:rsidRPr="00E20590">
          <w:rPr>
            <w:rFonts w:asciiTheme="majorBidi" w:hAnsiTheme="majorBidi" w:cstheme="majorBidi"/>
            <w:sz w:val="24"/>
            <w:szCs w:val="24"/>
          </w:rPr>
          <w:fldChar w:fldCharType="separate"/>
        </w:r>
        <w:r w:rsidR="000256D2">
          <w:rPr>
            <w:rFonts w:asciiTheme="majorBidi" w:hAnsiTheme="majorBidi" w:cstheme="majorBidi"/>
            <w:noProof/>
            <w:sz w:val="24"/>
            <w:szCs w:val="24"/>
          </w:rPr>
          <w:t>1</w:t>
        </w:r>
        <w:r w:rsidRPr="00E20590">
          <w:rPr>
            <w:rFonts w:asciiTheme="majorBidi" w:hAnsiTheme="majorBidi" w:cstheme="majorBidi"/>
            <w:noProof/>
            <w:sz w:val="24"/>
            <w:szCs w:val="24"/>
          </w:rPr>
          <w:fldChar w:fldCharType="end"/>
        </w:r>
      </w:p>
    </w:sdtContent>
  </w:sdt>
  <w:p w:rsidR="004559B4" w:rsidRDefault="0045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C5" w:rsidRDefault="003240C5" w:rsidP="00621FD9">
      <w:pPr>
        <w:spacing w:after="0" w:line="240" w:lineRule="auto"/>
      </w:pPr>
      <w:r>
        <w:separator/>
      </w:r>
    </w:p>
  </w:footnote>
  <w:footnote w:type="continuationSeparator" w:id="0">
    <w:p w:rsidR="003240C5" w:rsidRDefault="003240C5" w:rsidP="00621FD9">
      <w:pPr>
        <w:spacing w:after="0" w:line="240" w:lineRule="auto"/>
      </w:pPr>
      <w:r>
        <w:continuationSeparator/>
      </w:r>
    </w:p>
  </w:footnote>
  <w:footnote w:id="1">
    <w:p w:rsidR="0099555E" w:rsidRPr="0099555E" w:rsidRDefault="0099555E" w:rsidP="0099555E">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i/>
          <w:iCs/>
          <w:lang w:val="id-ID"/>
        </w:rPr>
        <w:t>Laporan Triwulan OJK III-2017</w:t>
      </w:r>
      <w:r w:rsidRPr="0099555E">
        <w:rPr>
          <w:rFonts w:asciiTheme="majorBidi" w:hAnsiTheme="majorBidi" w:cstheme="majorBidi"/>
          <w:lang w:val="id-ID"/>
        </w:rPr>
        <w:t>, diunduh tanggal 16 Februari 2018</w:t>
      </w:r>
      <w:r>
        <w:rPr>
          <w:rFonts w:asciiTheme="majorBidi" w:hAnsiTheme="majorBidi" w:cstheme="majorBidi"/>
          <w:lang w:val="id-ID"/>
        </w:rPr>
        <w:t>.</w:t>
      </w:r>
    </w:p>
  </w:footnote>
  <w:footnote w:id="2">
    <w:p w:rsidR="000F275B" w:rsidRPr="0099555E" w:rsidRDefault="000F275B" w:rsidP="007C0E75">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Zainul arifin, </w:t>
      </w:r>
      <w:r w:rsidR="007C0E75" w:rsidRPr="0099555E">
        <w:rPr>
          <w:rFonts w:asciiTheme="majorBidi" w:hAnsiTheme="majorBidi" w:cstheme="majorBidi"/>
          <w:i/>
          <w:iCs/>
          <w:lang w:val="id-ID"/>
        </w:rPr>
        <w:t xml:space="preserve">Dasar-Dasar Manajemen Bank Syariah </w:t>
      </w:r>
      <w:r w:rsidR="007C0E75" w:rsidRPr="0099555E">
        <w:rPr>
          <w:rFonts w:asciiTheme="majorBidi" w:hAnsiTheme="majorBidi" w:cstheme="majorBidi"/>
          <w:lang w:val="id-ID"/>
        </w:rPr>
        <w:t>(Jakarta: Pustaka Alvabeta, 2003</w:t>
      </w:r>
      <w:r w:rsidR="00826A21" w:rsidRPr="0099555E">
        <w:rPr>
          <w:rFonts w:asciiTheme="majorBidi" w:hAnsiTheme="majorBidi" w:cstheme="majorBidi"/>
          <w:lang w:val="id-ID"/>
        </w:rPr>
        <w:t xml:space="preserve">), </w:t>
      </w:r>
      <w:r w:rsidR="00791608" w:rsidRPr="0099555E">
        <w:rPr>
          <w:rFonts w:asciiTheme="majorBidi" w:hAnsiTheme="majorBidi" w:cstheme="majorBidi"/>
          <w:lang w:val="id-ID"/>
        </w:rPr>
        <w:t>56</w:t>
      </w:r>
      <w:r w:rsidR="007C0E75" w:rsidRPr="0099555E">
        <w:rPr>
          <w:rFonts w:asciiTheme="majorBidi" w:hAnsiTheme="majorBidi" w:cstheme="majorBidi"/>
          <w:lang w:val="id-ID"/>
        </w:rPr>
        <w:t>.</w:t>
      </w:r>
    </w:p>
  </w:footnote>
  <w:footnote w:id="3">
    <w:p w:rsidR="007C0E75" w:rsidRPr="0099555E" w:rsidRDefault="007C0E75" w:rsidP="007C0E75">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Heri Sudarsono, </w:t>
      </w:r>
      <w:r w:rsidRPr="0099555E">
        <w:rPr>
          <w:rFonts w:asciiTheme="majorBidi" w:hAnsiTheme="majorBidi" w:cstheme="majorBidi"/>
          <w:i/>
          <w:iCs/>
          <w:lang w:val="id-ID"/>
        </w:rPr>
        <w:t xml:space="preserve">Bank dan Lembaga </w:t>
      </w:r>
      <w:r w:rsidR="00826A21" w:rsidRPr="0099555E">
        <w:rPr>
          <w:rFonts w:asciiTheme="majorBidi" w:hAnsiTheme="majorBidi" w:cstheme="majorBidi"/>
          <w:i/>
          <w:iCs/>
          <w:lang w:val="id-ID"/>
        </w:rPr>
        <w:t>Keuangan Syariah: Deskripsi dan Ilustrasi,</w:t>
      </w:r>
      <w:r w:rsidR="00826A21" w:rsidRPr="0099555E">
        <w:rPr>
          <w:rFonts w:asciiTheme="majorBidi" w:hAnsiTheme="majorBidi" w:cstheme="majorBidi"/>
          <w:lang w:val="id-ID"/>
        </w:rPr>
        <w:t xml:space="preserve"> </w:t>
      </w:r>
      <w:r w:rsidRPr="0099555E">
        <w:rPr>
          <w:rFonts w:asciiTheme="majorBidi" w:hAnsiTheme="majorBidi" w:cstheme="majorBidi"/>
          <w:i/>
          <w:iCs/>
          <w:lang w:val="id-ID"/>
        </w:rPr>
        <w:t xml:space="preserve"> </w:t>
      </w:r>
      <w:r w:rsidRPr="0099555E">
        <w:rPr>
          <w:rFonts w:asciiTheme="majorBidi" w:hAnsiTheme="majorBidi" w:cstheme="majorBidi"/>
          <w:lang w:val="id-ID"/>
        </w:rPr>
        <w:t>Edisi ke-4</w:t>
      </w:r>
      <w:r w:rsidR="00DC46D3" w:rsidRPr="0099555E">
        <w:rPr>
          <w:rFonts w:asciiTheme="majorBidi" w:hAnsiTheme="majorBidi" w:cstheme="majorBidi"/>
          <w:i/>
          <w:iCs/>
          <w:lang w:val="id-ID"/>
        </w:rPr>
        <w:t xml:space="preserve"> </w:t>
      </w:r>
      <w:r w:rsidR="00826A21" w:rsidRPr="0099555E">
        <w:rPr>
          <w:rFonts w:asciiTheme="majorBidi" w:hAnsiTheme="majorBidi" w:cstheme="majorBidi"/>
          <w:lang w:val="id-ID"/>
        </w:rPr>
        <w:t xml:space="preserve">(Yogyakarta: Ekonisia, 2003), </w:t>
      </w:r>
      <w:r w:rsidRPr="0099555E">
        <w:rPr>
          <w:rFonts w:asciiTheme="majorBidi" w:hAnsiTheme="majorBidi" w:cstheme="majorBidi"/>
          <w:lang w:val="id-ID"/>
        </w:rPr>
        <w:t>65.</w:t>
      </w:r>
    </w:p>
  </w:footnote>
  <w:footnote w:id="4">
    <w:p w:rsidR="008B32F6" w:rsidRPr="0099555E" w:rsidRDefault="008B32F6" w:rsidP="008B32F6">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Irham Fahmi, </w:t>
      </w:r>
      <w:r w:rsidRPr="0099555E">
        <w:rPr>
          <w:rFonts w:asciiTheme="majorBidi" w:hAnsiTheme="majorBidi" w:cstheme="majorBidi"/>
          <w:i/>
          <w:iCs/>
          <w:lang w:val="id-ID"/>
        </w:rPr>
        <w:t>Pengantar Teori Po</w:t>
      </w:r>
      <w:r w:rsidR="00DC46D3" w:rsidRPr="0099555E">
        <w:rPr>
          <w:rFonts w:asciiTheme="majorBidi" w:hAnsiTheme="majorBidi" w:cstheme="majorBidi"/>
          <w:i/>
          <w:iCs/>
          <w:lang w:val="id-ID"/>
        </w:rPr>
        <w:t xml:space="preserve">rtofolio dan Analisis Investasi </w:t>
      </w:r>
      <w:r w:rsidRPr="0099555E">
        <w:rPr>
          <w:rFonts w:asciiTheme="majorBidi" w:hAnsiTheme="majorBidi" w:cstheme="majorBidi"/>
          <w:i/>
          <w:iCs/>
          <w:lang w:val="id-ID"/>
        </w:rPr>
        <w:t xml:space="preserve"> </w:t>
      </w:r>
      <w:r w:rsidRPr="0099555E">
        <w:rPr>
          <w:rFonts w:asciiTheme="majorBidi" w:hAnsiTheme="majorBidi" w:cstheme="majorBidi"/>
          <w:lang w:val="id-ID"/>
        </w:rPr>
        <w:t>(Bandung: CV. Alfabeta, 2015)</w:t>
      </w:r>
      <w:r w:rsidR="00826A21" w:rsidRPr="0099555E">
        <w:rPr>
          <w:rFonts w:asciiTheme="majorBidi" w:hAnsiTheme="majorBidi" w:cstheme="majorBidi"/>
          <w:lang w:val="id-ID"/>
        </w:rPr>
        <w:t>,</w:t>
      </w:r>
      <w:r w:rsidRPr="0099555E">
        <w:rPr>
          <w:rFonts w:asciiTheme="majorBidi" w:hAnsiTheme="majorBidi" w:cstheme="majorBidi"/>
          <w:lang w:val="id-ID"/>
        </w:rPr>
        <w:t xml:space="preserve"> 118.</w:t>
      </w:r>
    </w:p>
  </w:footnote>
  <w:footnote w:id="5">
    <w:p w:rsidR="00C706DF" w:rsidRPr="0099555E" w:rsidRDefault="00C706DF" w:rsidP="00C706DF">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i/>
          <w:iCs/>
          <w:lang w:val="id-ID"/>
        </w:rPr>
        <w:t>Laporan Perkembangan Keuangan Syari</w:t>
      </w:r>
      <w:r w:rsidR="00361EBA" w:rsidRPr="0099555E">
        <w:rPr>
          <w:rFonts w:asciiTheme="majorBidi" w:hAnsiTheme="majorBidi" w:cstheme="majorBidi"/>
          <w:i/>
          <w:iCs/>
          <w:lang w:val="id-ID"/>
        </w:rPr>
        <w:t>ah Tahun 2016</w:t>
      </w:r>
      <w:r w:rsidRPr="0099555E">
        <w:rPr>
          <w:rFonts w:asciiTheme="majorBidi" w:hAnsiTheme="majorBidi" w:cstheme="majorBidi"/>
          <w:lang w:val="id-ID"/>
        </w:rPr>
        <w:t>, diunduh pada 25 Oktober 2017</w:t>
      </w:r>
    </w:p>
  </w:footnote>
  <w:footnote w:id="6">
    <w:p w:rsidR="00621FD9" w:rsidRPr="0099555E" w:rsidRDefault="00621FD9" w:rsidP="00C700CD">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Abdul Manan, </w:t>
      </w:r>
      <w:r w:rsidRPr="0099555E">
        <w:rPr>
          <w:rFonts w:asciiTheme="majorBidi" w:hAnsiTheme="majorBidi" w:cstheme="majorBidi"/>
          <w:i/>
          <w:iCs/>
          <w:lang w:val="id-ID"/>
        </w:rPr>
        <w:t>Aspek Hukum dalam Penyelenggaraan Investasi di Pasar Modal Syariah Indonesia</w:t>
      </w:r>
      <w:r w:rsidR="00DC46D3" w:rsidRPr="0099555E">
        <w:rPr>
          <w:rFonts w:asciiTheme="majorBidi" w:hAnsiTheme="majorBidi" w:cstheme="majorBidi"/>
          <w:lang w:val="id-ID"/>
        </w:rPr>
        <w:t xml:space="preserve"> (Jakarta: Kencana, 2009)</w:t>
      </w:r>
      <w:r w:rsidR="00826A21" w:rsidRPr="0099555E">
        <w:rPr>
          <w:rFonts w:asciiTheme="majorBidi" w:hAnsiTheme="majorBidi" w:cstheme="majorBidi"/>
          <w:lang w:val="id-ID"/>
        </w:rPr>
        <w:t>,</w:t>
      </w:r>
      <w:r w:rsidR="00DC46D3" w:rsidRPr="0099555E">
        <w:rPr>
          <w:rFonts w:asciiTheme="majorBidi" w:hAnsiTheme="majorBidi" w:cstheme="majorBidi"/>
          <w:lang w:val="id-ID"/>
        </w:rPr>
        <w:t xml:space="preserve"> </w:t>
      </w:r>
      <w:r w:rsidRPr="0099555E">
        <w:rPr>
          <w:rFonts w:asciiTheme="majorBidi" w:hAnsiTheme="majorBidi" w:cstheme="majorBidi"/>
          <w:lang w:val="id-ID"/>
        </w:rPr>
        <w:t>125</w:t>
      </w:r>
      <w:r w:rsidR="00C700CD" w:rsidRPr="0099555E">
        <w:rPr>
          <w:rFonts w:asciiTheme="majorBidi" w:hAnsiTheme="majorBidi" w:cstheme="majorBidi"/>
          <w:lang w:val="id-ID"/>
        </w:rPr>
        <w:t>.</w:t>
      </w:r>
    </w:p>
  </w:footnote>
  <w:footnote w:id="7">
    <w:p w:rsidR="00621FD9" w:rsidRPr="0099555E" w:rsidRDefault="00621FD9" w:rsidP="00621FD9">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Muhammad Handriyo, </w:t>
      </w:r>
      <w:r w:rsidRPr="0099555E">
        <w:rPr>
          <w:rFonts w:asciiTheme="majorBidi" w:hAnsiTheme="majorBidi" w:cstheme="majorBidi"/>
          <w:i/>
          <w:iCs/>
          <w:lang w:val="id-ID"/>
        </w:rPr>
        <w:t xml:space="preserve">Thesis </w:t>
      </w:r>
      <w:r w:rsidRPr="0099555E">
        <w:rPr>
          <w:rFonts w:asciiTheme="majorBidi" w:hAnsiTheme="majorBidi" w:cstheme="majorBidi"/>
          <w:lang w:val="id-ID"/>
        </w:rPr>
        <w:t>(http://lib.pps.ui.ac.id/detail.jsp?id=25821&amp;lokasi =lokal) Diunduh pada 26 September 2017</w:t>
      </w:r>
    </w:p>
  </w:footnote>
  <w:footnote w:id="8">
    <w:p w:rsidR="00D1620B" w:rsidRPr="0099555E" w:rsidRDefault="00D1620B" w:rsidP="00D1620B">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Irham Fahmi, </w:t>
      </w:r>
      <w:r w:rsidR="00826A21" w:rsidRPr="0099555E">
        <w:rPr>
          <w:rFonts w:asciiTheme="majorBidi" w:hAnsiTheme="majorBidi" w:cstheme="majorBidi"/>
          <w:i/>
          <w:iCs/>
          <w:lang w:val="id-ID"/>
        </w:rPr>
        <w:t xml:space="preserve">Pengantar Perbankan: </w:t>
      </w:r>
      <w:r w:rsidRPr="0099555E">
        <w:rPr>
          <w:rFonts w:asciiTheme="majorBidi" w:hAnsiTheme="majorBidi" w:cstheme="majorBidi"/>
          <w:i/>
          <w:iCs/>
          <w:lang w:val="id-ID"/>
        </w:rPr>
        <w:t>Teori &amp; Aplikasi</w:t>
      </w:r>
      <w:r w:rsidR="00DC46D3" w:rsidRPr="0099555E">
        <w:rPr>
          <w:rFonts w:asciiTheme="majorBidi" w:hAnsiTheme="majorBidi" w:cstheme="majorBidi"/>
          <w:i/>
          <w:iCs/>
          <w:lang w:val="id-ID"/>
        </w:rPr>
        <w:t xml:space="preserve"> </w:t>
      </w:r>
      <w:r w:rsidRPr="0099555E">
        <w:rPr>
          <w:rFonts w:asciiTheme="majorBidi" w:hAnsiTheme="majorBidi" w:cstheme="majorBidi"/>
          <w:i/>
          <w:iCs/>
          <w:lang w:val="id-ID"/>
        </w:rPr>
        <w:t xml:space="preserve"> </w:t>
      </w:r>
      <w:r w:rsidRPr="0099555E">
        <w:rPr>
          <w:rFonts w:asciiTheme="majorBidi" w:hAnsiTheme="majorBidi" w:cstheme="majorBidi"/>
          <w:lang w:val="id-ID"/>
        </w:rPr>
        <w:t>(</w:t>
      </w:r>
      <w:r w:rsidR="00E32F6B" w:rsidRPr="0099555E">
        <w:rPr>
          <w:rFonts w:asciiTheme="majorBidi" w:hAnsiTheme="majorBidi" w:cstheme="majorBidi"/>
          <w:lang w:val="id-ID"/>
        </w:rPr>
        <w:t>Bandung: Alfabeta, 2014), 194</w:t>
      </w:r>
      <w:r w:rsidR="00826A21" w:rsidRPr="0099555E">
        <w:rPr>
          <w:rFonts w:asciiTheme="majorBidi" w:hAnsiTheme="majorBidi" w:cstheme="majorBidi"/>
          <w:lang w:val="id-ID"/>
        </w:rPr>
        <w:t>.</w:t>
      </w:r>
    </w:p>
  </w:footnote>
  <w:footnote w:id="9">
    <w:p w:rsidR="00ED7F66" w:rsidRPr="0099555E" w:rsidRDefault="00ED7F66" w:rsidP="00826A21">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Ikromi Ramadhani, </w:t>
      </w:r>
      <w:r w:rsidR="00826A21" w:rsidRPr="0099555E">
        <w:rPr>
          <w:rFonts w:asciiTheme="majorBidi" w:hAnsiTheme="majorBidi" w:cstheme="majorBidi"/>
          <w:lang w:val="id-ID"/>
        </w:rPr>
        <w:t xml:space="preserve"> “</w:t>
      </w:r>
      <w:r w:rsidRPr="0099555E">
        <w:rPr>
          <w:rFonts w:asciiTheme="majorBidi" w:hAnsiTheme="majorBidi" w:cstheme="majorBidi"/>
          <w:lang w:val="id-ID"/>
        </w:rPr>
        <w:t xml:space="preserve">Pengaruh Penerbitan </w:t>
      </w:r>
      <w:r w:rsidR="000651AF" w:rsidRPr="0099555E">
        <w:rPr>
          <w:rFonts w:asciiTheme="majorBidi" w:hAnsiTheme="majorBidi" w:cstheme="majorBidi"/>
          <w:lang w:val="id-ID"/>
        </w:rPr>
        <w:t>Obligasi syariah</w:t>
      </w:r>
      <w:r w:rsidR="00826A21" w:rsidRPr="0099555E">
        <w:rPr>
          <w:rFonts w:asciiTheme="majorBidi" w:hAnsiTheme="majorBidi" w:cstheme="majorBidi"/>
          <w:lang w:val="id-ID"/>
        </w:rPr>
        <w:t xml:space="preserve"> Terhadap Profitabilitas,”</w:t>
      </w:r>
      <w:r w:rsidRPr="0099555E">
        <w:rPr>
          <w:rFonts w:asciiTheme="majorBidi" w:hAnsiTheme="majorBidi" w:cstheme="majorBidi"/>
          <w:lang w:val="id-ID"/>
        </w:rPr>
        <w:t xml:space="preserve"> </w:t>
      </w:r>
      <w:r w:rsidR="00826A21" w:rsidRPr="0099555E">
        <w:rPr>
          <w:rFonts w:asciiTheme="majorBidi" w:hAnsiTheme="majorBidi" w:cstheme="majorBidi"/>
          <w:lang w:val="id-ID"/>
        </w:rPr>
        <w:t xml:space="preserve">dalam: </w:t>
      </w:r>
      <w:r w:rsidR="00826A21" w:rsidRPr="0099555E">
        <w:rPr>
          <w:rFonts w:asciiTheme="majorBidi" w:hAnsiTheme="majorBidi" w:cstheme="majorBidi"/>
          <w:i/>
          <w:iCs/>
          <w:lang w:val="id-ID"/>
        </w:rPr>
        <w:t>Jurnal Etikonomi FoSSEI</w:t>
      </w:r>
      <w:r w:rsidR="00826A21" w:rsidRPr="0099555E">
        <w:rPr>
          <w:rFonts w:asciiTheme="majorBidi" w:hAnsiTheme="majorBidi" w:cstheme="majorBidi"/>
          <w:lang w:val="id-ID"/>
        </w:rPr>
        <w:t>, Vol. 12 No. 2 (Oktober, 2013),</w:t>
      </w:r>
      <w:r w:rsidRPr="0099555E">
        <w:rPr>
          <w:rFonts w:asciiTheme="majorBidi" w:hAnsiTheme="majorBidi" w:cstheme="majorBidi"/>
          <w:lang w:val="id-ID"/>
        </w:rPr>
        <w:t xml:space="preserve"> 153.</w:t>
      </w:r>
    </w:p>
  </w:footnote>
  <w:footnote w:id="10">
    <w:p w:rsidR="007C33F6" w:rsidRPr="0099555E" w:rsidRDefault="007C33F6" w:rsidP="007C33F6">
      <w:pPr>
        <w:pStyle w:val="FootnoteText"/>
        <w:ind w:firstLine="720"/>
        <w:rPr>
          <w:rFonts w:asciiTheme="majorBidi" w:hAnsiTheme="majorBidi" w:cstheme="majorBidi"/>
          <w:lang w:val="id-ID"/>
        </w:rPr>
      </w:pPr>
      <w:r w:rsidRPr="0099555E">
        <w:rPr>
          <w:rStyle w:val="FootnoteReference"/>
          <w:rFonts w:asciiTheme="majorBidi" w:hAnsiTheme="majorBidi" w:cstheme="majorBidi"/>
        </w:rPr>
        <w:footnoteRef/>
      </w:r>
      <w:r w:rsidRPr="0099555E">
        <w:rPr>
          <w:rFonts w:asciiTheme="majorBidi" w:hAnsiTheme="majorBidi" w:cstheme="majorBidi"/>
        </w:rPr>
        <w:t xml:space="preserve"> </w:t>
      </w:r>
      <w:r w:rsidRPr="0099555E">
        <w:rPr>
          <w:rFonts w:asciiTheme="majorBidi" w:hAnsiTheme="majorBidi" w:cstheme="majorBidi"/>
          <w:lang w:val="id-ID"/>
        </w:rPr>
        <w:t xml:space="preserve">Veithzal Rivai, </w:t>
      </w:r>
      <w:r w:rsidR="00826A21" w:rsidRPr="0099555E">
        <w:rPr>
          <w:rFonts w:asciiTheme="majorBidi" w:hAnsiTheme="majorBidi" w:cstheme="majorBidi"/>
          <w:i/>
          <w:iCs/>
          <w:lang w:val="id-ID"/>
        </w:rPr>
        <w:t>Commercial Bank Management: Manajemen B</w:t>
      </w:r>
      <w:r w:rsidRPr="0099555E">
        <w:rPr>
          <w:rFonts w:asciiTheme="majorBidi" w:hAnsiTheme="majorBidi" w:cstheme="majorBidi"/>
          <w:i/>
          <w:iCs/>
          <w:lang w:val="id-ID"/>
        </w:rPr>
        <w:t>ank dari Teori ke Praktik</w:t>
      </w:r>
      <w:r w:rsidRPr="0099555E">
        <w:rPr>
          <w:rFonts w:asciiTheme="majorBidi" w:hAnsiTheme="majorBidi" w:cstheme="majorBidi"/>
          <w:lang w:val="id-ID"/>
        </w:rPr>
        <w:t xml:space="preserve"> (Jakarta: </w:t>
      </w:r>
      <w:r w:rsidR="00FB3ED5" w:rsidRPr="0099555E">
        <w:rPr>
          <w:rFonts w:asciiTheme="majorBidi" w:hAnsiTheme="majorBidi" w:cstheme="majorBidi"/>
          <w:lang w:val="id-ID"/>
        </w:rPr>
        <w:t xml:space="preserve">PT. Rajagrafindo Persada, 2013), </w:t>
      </w:r>
      <w:r w:rsidRPr="0099555E">
        <w:rPr>
          <w:rFonts w:asciiTheme="majorBidi" w:hAnsiTheme="majorBidi" w:cstheme="majorBidi"/>
          <w:lang w:val="id-ID"/>
        </w:rPr>
        <w:t>480.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66510197"/>
      <w:docPartObj>
        <w:docPartGallery w:val="Page Numbers (Top of Page)"/>
        <w:docPartUnique/>
      </w:docPartObj>
    </w:sdtPr>
    <w:sdtEndPr>
      <w:rPr>
        <w:noProof/>
      </w:rPr>
    </w:sdtEndPr>
    <w:sdtContent>
      <w:p w:rsidR="000256D2" w:rsidRPr="000256D2" w:rsidRDefault="000256D2">
        <w:pPr>
          <w:pStyle w:val="Header"/>
          <w:jc w:val="right"/>
          <w:rPr>
            <w:rFonts w:asciiTheme="majorBidi" w:hAnsiTheme="majorBidi" w:cstheme="majorBidi"/>
            <w:sz w:val="24"/>
            <w:szCs w:val="24"/>
          </w:rPr>
        </w:pPr>
        <w:r w:rsidRPr="000256D2">
          <w:rPr>
            <w:rFonts w:asciiTheme="majorBidi" w:hAnsiTheme="majorBidi" w:cstheme="majorBidi"/>
            <w:sz w:val="24"/>
            <w:szCs w:val="24"/>
          </w:rPr>
          <w:fldChar w:fldCharType="begin"/>
        </w:r>
        <w:r w:rsidRPr="000256D2">
          <w:rPr>
            <w:rFonts w:asciiTheme="majorBidi" w:hAnsiTheme="majorBidi" w:cstheme="majorBidi"/>
            <w:sz w:val="24"/>
            <w:szCs w:val="24"/>
          </w:rPr>
          <w:instrText xml:space="preserve"> PAGE   \* MERGEFORMAT </w:instrText>
        </w:r>
        <w:r w:rsidRPr="000256D2">
          <w:rPr>
            <w:rFonts w:asciiTheme="majorBidi" w:hAnsiTheme="majorBidi" w:cstheme="majorBidi"/>
            <w:sz w:val="24"/>
            <w:szCs w:val="24"/>
          </w:rPr>
          <w:fldChar w:fldCharType="separate"/>
        </w:r>
        <w:r>
          <w:rPr>
            <w:rFonts w:asciiTheme="majorBidi" w:hAnsiTheme="majorBidi" w:cstheme="majorBidi"/>
            <w:noProof/>
            <w:sz w:val="24"/>
            <w:szCs w:val="24"/>
          </w:rPr>
          <w:t>13</w:t>
        </w:r>
        <w:r w:rsidRPr="000256D2">
          <w:rPr>
            <w:rFonts w:asciiTheme="majorBidi" w:hAnsiTheme="majorBidi" w:cstheme="majorBidi"/>
            <w:noProof/>
            <w:sz w:val="24"/>
            <w:szCs w:val="24"/>
          </w:rPr>
          <w:fldChar w:fldCharType="end"/>
        </w:r>
      </w:p>
    </w:sdtContent>
  </w:sdt>
  <w:p w:rsidR="004559B4" w:rsidRPr="000256D2" w:rsidRDefault="004559B4">
    <w:pPr>
      <w:pStyle w:val="Header"/>
      <w:rPr>
        <w:rFonts w:asciiTheme="majorBidi" w:hAnsiTheme="majorBidi" w:cstheme="majorBid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5E" w:rsidRPr="0099555E" w:rsidRDefault="0099555E" w:rsidP="00E20590">
    <w:pPr>
      <w:pStyle w:val="Header"/>
      <w:jc w:val="center"/>
      <w:rPr>
        <w:rFonts w:asciiTheme="majorBidi" w:hAnsiTheme="majorBidi" w:cstheme="majorBidi"/>
        <w:sz w:val="24"/>
        <w:szCs w:val="24"/>
      </w:rPr>
    </w:pPr>
  </w:p>
  <w:p w:rsidR="0099555E" w:rsidRDefault="0099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E90"/>
    <w:multiLevelType w:val="hybridMultilevel"/>
    <w:tmpl w:val="2DA808A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36950EB"/>
    <w:multiLevelType w:val="hybridMultilevel"/>
    <w:tmpl w:val="0700FEC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B9850E1"/>
    <w:multiLevelType w:val="hybridMultilevel"/>
    <w:tmpl w:val="18F27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82950"/>
    <w:multiLevelType w:val="hybridMultilevel"/>
    <w:tmpl w:val="4950FFFA"/>
    <w:lvl w:ilvl="0" w:tplc="F4448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7C7273"/>
    <w:multiLevelType w:val="hybridMultilevel"/>
    <w:tmpl w:val="B67E94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C61459"/>
    <w:multiLevelType w:val="hybridMultilevel"/>
    <w:tmpl w:val="83D28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3A3E55"/>
    <w:multiLevelType w:val="hybridMultilevel"/>
    <w:tmpl w:val="21900C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287A17"/>
    <w:multiLevelType w:val="hybridMultilevel"/>
    <w:tmpl w:val="DB2CE1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D9"/>
    <w:rsid w:val="000020E2"/>
    <w:rsid w:val="000256D2"/>
    <w:rsid w:val="00032DBE"/>
    <w:rsid w:val="00040ED2"/>
    <w:rsid w:val="000576C7"/>
    <w:rsid w:val="00060235"/>
    <w:rsid w:val="000651AF"/>
    <w:rsid w:val="000806CA"/>
    <w:rsid w:val="00092405"/>
    <w:rsid w:val="000B6D3E"/>
    <w:rsid w:val="000C1B87"/>
    <w:rsid w:val="000D1143"/>
    <w:rsid w:val="000F275B"/>
    <w:rsid w:val="001063BE"/>
    <w:rsid w:val="00107471"/>
    <w:rsid w:val="00122B4A"/>
    <w:rsid w:val="00174E97"/>
    <w:rsid w:val="00184E90"/>
    <w:rsid w:val="001B5504"/>
    <w:rsid w:val="00213738"/>
    <w:rsid w:val="0022059E"/>
    <w:rsid w:val="00227BDE"/>
    <w:rsid w:val="00232057"/>
    <w:rsid w:val="00243D39"/>
    <w:rsid w:val="00245D5A"/>
    <w:rsid w:val="00247314"/>
    <w:rsid w:val="00251A1C"/>
    <w:rsid w:val="00275B4E"/>
    <w:rsid w:val="002A6583"/>
    <w:rsid w:val="002C7D64"/>
    <w:rsid w:val="002D6B9B"/>
    <w:rsid w:val="002E7536"/>
    <w:rsid w:val="003022EB"/>
    <w:rsid w:val="0031675D"/>
    <w:rsid w:val="003240C5"/>
    <w:rsid w:val="00357824"/>
    <w:rsid w:val="00361EBA"/>
    <w:rsid w:val="003A7134"/>
    <w:rsid w:val="003B2DE3"/>
    <w:rsid w:val="003C4A02"/>
    <w:rsid w:val="003E11BD"/>
    <w:rsid w:val="003E3589"/>
    <w:rsid w:val="00431C65"/>
    <w:rsid w:val="00432B59"/>
    <w:rsid w:val="004446D1"/>
    <w:rsid w:val="00446BD9"/>
    <w:rsid w:val="00450D5E"/>
    <w:rsid w:val="004559B4"/>
    <w:rsid w:val="00480D3A"/>
    <w:rsid w:val="00481275"/>
    <w:rsid w:val="00497A2C"/>
    <w:rsid w:val="004A647D"/>
    <w:rsid w:val="004B259D"/>
    <w:rsid w:val="004E7CBE"/>
    <w:rsid w:val="004F6D36"/>
    <w:rsid w:val="00504BF6"/>
    <w:rsid w:val="00524FBA"/>
    <w:rsid w:val="00570FE3"/>
    <w:rsid w:val="005A0DC9"/>
    <w:rsid w:val="005A23CF"/>
    <w:rsid w:val="005B2638"/>
    <w:rsid w:val="005B623B"/>
    <w:rsid w:val="005E66BA"/>
    <w:rsid w:val="00621FD9"/>
    <w:rsid w:val="00625275"/>
    <w:rsid w:val="0063791E"/>
    <w:rsid w:val="00647075"/>
    <w:rsid w:val="006624F2"/>
    <w:rsid w:val="00662FDC"/>
    <w:rsid w:val="00665CBB"/>
    <w:rsid w:val="00683FF1"/>
    <w:rsid w:val="00684F62"/>
    <w:rsid w:val="00685CEE"/>
    <w:rsid w:val="00691A9A"/>
    <w:rsid w:val="0069394B"/>
    <w:rsid w:val="006A17F1"/>
    <w:rsid w:val="006B5414"/>
    <w:rsid w:val="006B74E6"/>
    <w:rsid w:val="00713C15"/>
    <w:rsid w:val="007154CD"/>
    <w:rsid w:val="00771FB7"/>
    <w:rsid w:val="007828AF"/>
    <w:rsid w:val="00791608"/>
    <w:rsid w:val="00797AC7"/>
    <w:rsid w:val="007C0E73"/>
    <w:rsid w:val="007C0E75"/>
    <w:rsid w:val="007C33F6"/>
    <w:rsid w:val="007C3E01"/>
    <w:rsid w:val="007D15AA"/>
    <w:rsid w:val="007D1A50"/>
    <w:rsid w:val="007D2DE1"/>
    <w:rsid w:val="007D56FC"/>
    <w:rsid w:val="007E4D7B"/>
    <w:rsid w:val="007F1132"/>
    <w:rsid w:val="00805117"/>
    <w:rsid w:val="00826A21"/>
    <w:rsid w:val="00833F73"/>
    <w:rsid w:val="00870BF3"/>
    <w:rsid w:val="0087311F"/>
    <w:rsid w:val="00877362"/>
    <w:rsid w:val="00886A18"/>
    <w:rsid w:val="0089026D"/>
    <w:rsid w:val="0089247A"/>
    <w:rsid w:val="008A6475"/>
    <w:rsid w:val="008B1AE6"/>
    <w:rsid w:val="008B32F6"/>
    <w:rsid w:val="008B5BF2"/>
    <w:rsid w:val="008D0732"/>
    <w:rsid w:val="008E080A"/>
    <w:rsid w:val="008E4750"/>
    <w:rsid w:val="008F197C"/>
    <w:rsid w:val="00901E6F"/>
    <w:rsid w:val="0090667A"/>
    <w:rsid w:val="00910F1C"/>
    <w:rsid w:val="0097624D"/>
    <w:rsid w:val="0099555E"/>
    <w:rsid w:val="009C6ECD"/>
    <w:rsid w:val="009D4EF9"/>
    <w:rsid w:val="009E7CDF"/>
    <w:rsid w:val="009F7E43"/>
    <w:rsid w:val="00A13E49"/>
    <w:rsid w:val="00A300A8"/>
    <w:rsid w:val="00A6469D"/>
    <w:rsid w:val="00A776E7"/>
    <w:rsid w:val="00A80FB6"/>
    <w:rsid w:val="00A958ED"/>
    <w:rsid w:val="00AD7160"/>
    <w:rsid w:val="00AE1CD4"/>
    <w:rsid w:val="00B02435"/>
    <w:rsid w:val="00B07266"/>
    <w:rsid w:val="00B11752"/>
    <w:rsid w:val="00B20170"/>
    <w:rsid w:val="00B22C66"/>
    <w:rsid w:val="00B30A27"/>
    <w:rsid w:val="00B313D3"/>
    <w:rsid w:val="00B55D6D"/>
    <w:rsid w:val="00B6001A"/>
    <w:rsid w:val="00B85FFF"/>
    <w:rsid w:val="00B92F08"/>
    <w:rsid w:val="00BA6B95"/>
    <w:rsid w:val="00BB73C3"/>
    <w:rsid w:val="00BC15B8"/>
    <w:rsid w:val="00BD3FC5"/>
    <w:rsid w:val="00BE2D7B"/>
    <w:rsid w:val="00BE4C42"/>
    <w:rsid w:val="00BF1B41"/>
    <w:rsid w:val="00BF273F"/>
    <w:rsid w:val="00BF6FCB"/>
    <w:rsid w:val="00C34CCD"/>
    <w:rsid w:val="00C56948"/>
    <w:rsid w:val="00C57F34"/>
    <w:rsid w:val="00C63DEB"/>
    <w:rsid w:val="00C700CD"/>
    <w:rsid w:val="00C706DF"/>
    <w:rsid w:val="00C846E5"/>
    <w:rsid w:val="00CA7696"/>
    <w:rsid w:val="00CB2E1A"/>
    <w:rsid w:val="00CB6B35"/>
    <w:rsid w:val="00CD3EE9"/>
    <w:rsid w:val="00CE461C"/>
    <w:rsid w:val="00D1620B"/>
    <w:rsid w:val="00D64C80"/>
    <w:rsid w:val="00D765D1"/>
    <w:rsid w:val="00D7688B"/>
    <w:rsid w:val="00D7721A"/>
    <w:rsid w:val="00D82AAA"/>
    <w:rsid w:val="00DB2DAB"/>
    <w:rsid w:val="00DC46D3"/>
    <w:rsid w:val="00DD049E"/>
    <w:rsid w:val="00DD562B"/>
    <w:rsid w:val="00DE19F6"/>
    <w:rsid w:val="00DE1CD0"/>
    <w:rsid w:val="00E066BD"/>
    <w:rsid w:val="00E20590"/>
    <w:rsid w:val="00E25E55"/>
    <w:rsid w:val="00E264A6"/>
    <w:rsid w:val="00E32448"/>
    <w:rsid w:val="00E32F6B"/>
    <w:rsid w:val="00E340E3"/>
    <w:rsid w:val="00E36915"/>
    <w:rsid w:val="00E84096"/>
    <w:rsid w:val="00EA47A6"/>
    <w:rsid w:val="00EB1A31"/>
    <w:rsid w:val="00EC47C1"/>
    <w:rsid w:val="00ED7F66"/>
    <w:rsid w:val="00EF5514"/>
    <w:rsid w:val="00F05231"/>
    <w:rsid w:val="00F07E61"/>
    <w:rsid w:val="00F07FEF"/>
    <w:rsid w:val="00F22BF6"/>
    <w:rsid w:val="00F55577"/>
    <w:rsid w:val="00F8152A"/>
    <w:rsid w:val="00F85B10"/>
    <w:rsid w:val="00FA270F"/>
    <w:rsid w:val="00FA7E77"/>
    <w:rsid w:val="00FA7F67"/>
    <w:rsid w:val="00FB11B9"/>
    <w:rsid w:val="00FB2339"/>
    <w:rsid w:val="00FB3ED5"/>
    <w:rsid w:val="00FD4B86"/>
    <w:rsid w:val="00FE17A5"/>
    <w:rsid w:val="00FF0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D9"/>
    <w:pPr>
      <w:ind w:left="720"/>
      <w:contextualSpacing/>
    </w:pPr>
  </w:style>
  <w:style w:type="paragraph" w:styleId="FootnoteText">
    <w:name w:val="footnote text"/>
    <w:basedOn w:val="Normal"/>
    <w:link w:val="FootnoteTextChar"/>
    <w:uiPriority w:val="99"/>
    <w:unhideWhenUsed/>
    <w:rsid w:val="00621FD9"/>
    <w:pPr>
      <w:spacing w:after="0" w:line="240" w:lineRule="auto"/>
    </w:pPr>
    <w:rPr>
      <w:sz w:val="20"/>
      <w:szCs w:val="20"/>
    </w:rPr>
  </w:style>
  <w:style w:type="character" w:customStyle="1" w:styleId="FootnoteTextChar">
    <w:name w:val="Footnote Text Char"/>
    <w:basedOn w:val="DefaultParagraphFont"/>
    <w:link w:val="FootnoteText"/>
    <w:uiPriority w:val="99"/>
    <w:rsid w:val="00621FD9"/>
    <w:rPr>
      <w:sz w:val="20"/>
      <w:szCs w:val="20"/>
    </w:rPr>
  </w:style>
  <w:style w:type="character" w:styleId="FootnoteReference">
    <w:name w:val="footnote reference"/>
    <w:basedOn w:val="DefaultParagraphFont"/>
    <w:uiPriority w:val="99"/>
    <w:semiHidden/>
    <w:unhideWhenUsed/>
    <w:rsid w:val="00621FD9"/>
    <w:rPr>
      <w:vertAlign w:val="superscript"/>
    </w:rPr>
  </w:style>
  <w:style w:type="character" w:styleId="Hyperlink">
    <w:name w:val="Hyperlink"/>
    <w:basedOn w:val="DefaultParagraphFont"/>
    <w:uiPriority w:val="99"/>
    <w:unhideWhenUsed/>
    <w:rsid w:val="00621FD9"/>
    <w:rPr>
      <w:color w:val="0000FF" w:themeColor="hyperlink"/>
      <w:u w:val="single"/>
    </w:rPr>
  </w:style>
  <w:style w:type="paragraph" w:styleId="Header">
    <w:name w:val="header"/>
    <w:basedOn w:val="Normal"/>
    <w:link w:val="HeaderChar"/>
    <w:uiPriority w:val="99"/>
    <w:unhideWhenUsed/>
    <w:rsid w:val="00FF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79"/>
  </w:style>
  <w:style w:type="paragraph" w:styleId="Footer">
    <w:name w:val="footer"/>
    <w:basedOn w:val="Normal"/>
    <w:link w:val="FooterChar"/>
    <w:uiPriority w:val="99"/>
    <w:unhideWhenUsed/>
    <w:rsid w:val="00FF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79"/>
  </w:style>
  <w:style w:type="paragraph" w:styleId="BalloonText">
    <w:name w:val="Balloon Text"/>
    <w:basedOn w:val="Normal"/>
    <w:link w:val="BalloonTextChar"/>
    <w:uiPriority w:val="99"/>
    <w:semiHidden/>
    <w:unhideWhenUsed/>
    <w:rsid w:val="00B8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D9"/>
    <w:pPr>
      <w:ind w:left="720"/>
      <w:contextualSpacing/>
    </w:pPr>
  </w:style>
  <w:style w:type="paragraph" w:styleId="FootnoteText">
    <w:name w:val="footnote text"/>
    <w:basedOn w:val="Normal"/>
    <w:link w:val="FootnoteTextChar"/>
    <w:uiPriority w:val="99"/>
    <w:unhideWhenUsed/>
    <w:rsid w:val="00621FD9"/>
    <w:pPr>
      <w:spacing w:after="0" w:line="240" w:lineRule="auto"/>
    </w:pPr>
    <w:rPr>
      <w:sz w:val="20"/>
      <w:szCs w:val="20"/>
    </w:rPr>
  </w:style>
  <w:style w:type="character" w:customStyle="1" w:styleId="FootnoteTextChar">
    <w:name w:val="Footnote Text Char"/>
    <w:basedOn w:val="DefaultParagraphFont"/>
    <w:link w:val="FootnoteText"/>
    <w:uiPriority w:val="99"/>
    <w:rsid w:val="00621FD9"/>
    <w:rPr>
      <w:sz w:val="20"/>
      <w:szCs w:val="20"/>
    </w:rPr>
  </w:style>
  <w:style w:type="character" w:styleId="FootnoteReference">
    <w:name w:val="footnote reference"/>
    <w:basedOn w:val="DefaultParagraphFont"/>
    <w:uiPriority w:val="99"/>
    <w:semiHidden/>
    <w:unhideWhenUsed/>
    <w:rsid w:val="00621FD9"/>
    <w:rPr>
      <w:vertAlign w:val="superscript"/>
    </w:rPr>
  </w:style>
  <w:style w:type="character" w:styleId="Hyperlink">
    <w:name w:val="Hyperlink"/>
    <w:basedOn w:val="DefaultParagraphFont"/>
    <w:uiPriority w:val="99"/>
    <w:unhideWhenUsed/>
    <w:rsid w:val="00621FD9"/>
    <w:rPr>
      <w:color w:val="0000FF" w:themeColor="hyperlink"/>
      <w:u w:val="single"/>
    </w:rPr>
  </w:style>
  <w:style w:type="paragraph" w:styleId="Header">
    <w:name w:val="header"/>
    <w:basedOn w:val="Normal"/>
    <w:link w:val="HeaderChar"/>
    <w:uiPriority w:val="99"/>
    <w:unhideWhenUsed/>
    <w:rsid w:val="00FF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79"/>
  </w:style>
  <w:style w:type="paragraph" w:styleId="Footer">
    <w:name w:val="footer"/>
    <w:basedOn w:val="Normal"/>
    <w:link w:val="FooterChar"/>
    <w:uiPriority w:val="99"/>
    <w:unhideWhenUsed/>
    <w:rsid w:val="00FF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79"/>
  </w:style>
  <w:style w:type="paragraph" w:styleId="BalloonText">
    <w:name w:val="Balloon Text"/>
    <w:basedOn w:val="Normal"/>
    <w:link w:val="BalloonTextChar"/>
    <w:uiPriority w:val="99"/>
    <w:semiHidden/>
    <w:unhideWhenUsed/>
    <w:rsid w:val="00B8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5707">
      <w:bodyDiv w:val="1"/>
      <w:marLeft w:val="0"/>
      <w:marRight w:val="0"/>
      <w:marTop w:val="0"/>
      <w:marBottom w:val="0"/>
      <w:divBdr>
        <w:top w:val="none" w:sz="0" w:space="0" w:color="auto"/>
        <w:left w:val="none" w:sz="0" w:space="0" w:color="auto"/>
        <w:bottom w:val="none" w:sz="0" w:space="0" w:color="auto"/>
        <w:right w:val="none" w:sz="0" w:space="0" w:color="auto"/>
      </w:divBdr>
    </w:div>
    <w:div w:id="7468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EA42-75E5-43B8-9A67-62E91402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2018-05-31T03:36:00Z</cp:lastPrinted>
  <dcterms:created xsi:type="dcterms:W3CDTF">2018-05-30T02:13:00Z</dcterms:created>
  <dcterms:modified xsi:type="dcterms:W3CDTF">2018-05-31T03:43:00Z</dcterms:modified>
</cp:coreProperties>
</file>