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71" w:rsidRPr="0048238F" w:rsidRDefault="00AA7171" w:rsidP="007E0BC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48238F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AA7171" w:rsidRDefault="00AA7171" w:rsidP="007E0BC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8238F">
        <w:rPr>
          <w:rFonts w:asciiTheme="majorBidi" w:hAnsiTheme="majorBidi" w:cstheme="majorBidi"/>
          <w:b/>
          <w:bCs/>
          <w:sz w:val="28"/>
          <w:szCs w:val="28"/>
        </w:rPr>
        <w:t>KESIMPULAN DAN SARAN</w:t>
      </w:r>
    </w:p>
    <w:p w:rsidR="007E0BC2" w:rsidRPr="007E0BC2" w:rsidRDefault="007E0BC2" w:rsidP="007E0BC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AA7171" w:rsidRPr="003C198B" w:rsidRDefault="00AA7171" w:rsidP="007E0B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C198B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  <w:r w:rsidRPr="003C19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A7171" w:rsidRPr="003C198B" w:rsidRDefault="00AA7171" w:rsidP="007E0BC2">
      <w:pPr>
        <w:pStyle w:val="ListParagraph"/>
        <w:spacing w:line="36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C198B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manufaktur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menyimpulkan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>:</w:t>
      </w:r>
    </w:p>
    <w:p w:rsidR="00AA7171" w:rsidRDefault="00AA7171" w:rsidP="007E0BC2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realisasi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Provinsi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2010-2015 </w:t>
      </w:r>
      <w:proofErr w:type="spellStart"/>
      <w:r>
        <w:rPr>
          <w:rFonts w:asciiTheme="majorBidi" w:hAnsiTheme="majorBidi" w:cstheme="majorBidi"/>
          <w:sz w:val="24"/>
          <w:szCs w:val="24"/>
        </w:rPr>
        <w:t>terbilang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fluktuatif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manufaktur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2010-2015 </w:t>
      </w:r>
      <w:proofErr w:type="spellStart"/>
      <w:r>
        <w:rPr>
          <w:rFonts w:asciiTheme="majorBidi" w:hAnsiTheme="majorBidi" w:cstheme="majorBidi"/>
          <w:sz w:val="24"/>
          <w:szCs w:val="24"/>
        </w:rPr>
        <w:t>terbilang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AA7171" w:rsidRPr="0081472D" w:rsidRDefault="00AA7171" w:rsidP="007E0BC2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472D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r w:rsidRPr="0081472D">
        <w:rPr>
          <w:rFonts w:asciiTheme="majorBidi" w:hAnsiTheme="majorBidi" w:cstheme="majorBidi"/>
          <w:i/>
          <w:iCs/>
          <w:sz w:val="24"/>
          <w:szCs w:val="24"/>
        </w:rPr>
        <w:t xml:space="preserve">software </w:t>
      </w:r>
      <w:r w:rsidRPr="0081472D">
        <w:rPr>
          <w:rFonts w:asciiTheme="majorBidi" w:hAnsiTheme="majorBidi" w:cstheme="majorBidi"/>
          <w:sz w:val="24"/>
          <w:szCs w:val="24"/>
        </w:rPr>
        <w:t xml:space="preserve">SPSS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versi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16.0 di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dapatkan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hitung </m:t>
            </m:r>
          </m:sub>
        </m:sSub>
      </m:oMath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 sebesar 3.087 dengan menggunakan tingkat signifikan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  <m:r>
          <w:rPr>
            <w:rFonts w:ascii="Cambria Math" w:eastAsiaTheme="minorEastAsia" w:hAnsiTheme="majorBidi" w:cstheme="majorBidi"/>
            <w:sz w:val="24"/>
            <w:szCs w:val="24"/>
          </w:rPr>
          <m:t xml:space="preserve">= </m:t>
        </m:r>
      </m:oMath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5% dan derajat kebebasan (df) = 23. Uji hipotesis dilakukan dengan perhitungan satu sisi, maka diketahui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tabel </m:t>
            </m:r>
          </m:sub>
        </m:sSub>
      </m:oMath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 sebesar 2.068, jika </w:t>
      </w:r>
      <m:oMath>
        <m:r>
          <w:rPr>
            <w:rFonts w:asciiTheme="majorBidi" w:eastAsiaTheme="minorEastAsia" w:hAnsiTheme="majorBidi" w:cstheme="majorBidi"/>
            <w:sz w:val="24"/>
            <w:szCs w:val="24"/>
          </w:rPr>
          <m:t>­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hitung </m:t>
            </m:r>
          </m:sub>
        </m:sSub>
      </m:oMath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&lt; </w:t>
      </w:r>
      <m:oMath>
        <m:r>
          <w:rPr>
            <w:rFonts w:asciiTheme="majorBidi" w:eastAsiaTheme="minorEastAsia" w:hAnsiTheme="majorBidi" w:cstheme="majorBidi"/>
            <w:sz w:val="24"/>
            <w:szCs w:val="24"/>
          </w:rPr>
          <m:t>­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tabel </m:t>
            </m:r>
          </m:sub>
        </m:sSub>
      </m:oMath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 atau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hitung </m:t>
            </m:r>
          </m:sub>
        </m:sSub>
      </m:oMath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tabel </m:t>
            </m:r>
          </m:sub>
        </m:sSub>
      </m:oMath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 (3.087 &gt; 2.068), maka Ho ditolak dan Ha diterima. Sedangkan uji signifikasi antara investasi terhadap pertumbuhan industri manufaktur sangat signifikan atau mempengaruhi secara positif. </w:t>
      </w:r>
      <w:proofErr w:type="spellStart"/>
      <w:r w:rsidRPr="0081472D">
        <w:rPr>
          <w:rFonts w:asciiTheme="majorBidi" w:eastAsiaTheme="minorEastAsia" w:hAnsiTheme="majorBidi" w:cstheme="majorBidi"/>
          <w:sz w:val="24"/>
          <w:szCs w:val="24"/>
        </w:rPr>
        <w:t>Adapun</w:t>
      </w:r>
      <w:proofErr w:type="spellEnd"/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eastAsiaTheme="minorEastAsia" w:hAnsiTheme="majorBidi" w:cstheme="majorBidi"/>
          <w:sz w:val="24"/>
          <w:szCs w:val="24"/>
        </w:rPr>
        <w:t>dalam</w:t>
      </w:r>
      <w:proofErr w:type="spellEnd"/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eastAsiaTheme="minorEastAsia" w:hAnsiTheme="majorBidi" w:cstheme="majorBidi"/>
          <w:sz w:val="24"/>
          <w:szCs w:val="24"/>
        </w:rPr>
        <w:t>penelitian</w:t>
      </w:r>
      <w:proofErr w:type="spellEnd"/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eastAsiaTheme="minorEastAsia" w:hAnsiTheme="majorBidi" w:cstheme="majorBidi"/>
          <w:sz w:val="24"/>
          <w:szCs w:val="24"/>
        </w:rPr>
        <w:t>ini</w:t>
      </w:r>
      <w:proofErr w:type="spellEnd"/>
      <w:r w:rsidRPr="0081472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melihat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seberapa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besar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investasi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pertumbuhan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industri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manufaktur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nilai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koefisien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determinasi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yaitu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0.302,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investasi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menjelaskan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pengaruhnya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pertumbuhan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industri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manufaktur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30,2%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sisanya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69,8%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dipengaruhi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lain yang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diteliti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.   </w:t>
      </w:r>
    </w:p>
    <w:p w:rsidR="00AA7171" w:rsidRDefault="00AA7171" w:rsidP="007E0BC2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472D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1472D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membawa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manufaktur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Begitupun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1472D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81472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diajarkan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produk-produk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menguntungkan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menggairahkan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sektor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472D">
        <w:rPr>
          <w:rFonts w:asciiTheme="majorBidi" w:hAnsiTheme="majorBidi" w:cstheme="majorBidi"/>
          <w:sz w:val="24"/>
          <w:szCs w:val="24"/>
        </w:rPr>
        <w:t>pengangguran</w:t>
      </w:r>
      <w:proofErr w:type="spellEnd"/>
      <w:r w:rsidRPr="0081472D">
        <w:rPr>
          <w:rFonts w:asciiTheme="majorBidi" w:hAnsiTheme="majorBidi" w:cstheme="majorBidi"/>
          <w:sz w:val="24"/>
          <w:szCs w:val="24"/>
        </w:rPr>
        <w:t xml:space="preserve">. </w:t>
      </w:r>
    </w:p>
    <w:p w:rsidR="00AA7171" w:rsidRPr="00C2660C" w:rsidRDefault="00AA7171" w:rsidP="007E0BC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A7171" w:rsidRPr="003C198B" w:rsidRDefault="00AA7171" w:rsidP="007E0BC2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98B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AA7171" w:rsidRPr="003C198B" w:rsidRDefault="00AA7171" w:rsidP="007E0BC2">
      <w:pPr>
        <w:pStyle w:val="ListParagraph"/>
        <w:spacing w:line="36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C198B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mudah-mudahan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manufaktur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manufaktur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A7171" w:rsidRDefault="00AA7171" w:rsidP="007E0BC2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5A26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manufaktur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iklim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kondusif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perk</w:t>
      </w:r>
      <w:r>
        <w:rPr>
          <w:rFonts w:asciiTheme="majorBidi" w:hAnsiTheme="majorBidi" w:cstheme="majorBidi"/>
          <w:sz w:val="24"/>
          <w:szCs w:val="24"/>
        </w:rPr>
        <w:t>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disektor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swasta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berupaya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PDRB yang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nantinya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meningkat</w:t>
      </w:r>
      <w:r>
        <w:rPr>
          <w:rFonts w:asciiTheme="majorBidi" w:hAnsiTheme="majorBidi" w:cstheme="majorBidi"/>
          <w:sz w:val="24"/>
          <w:szCs w:val="24"/>
        </w:rPr>
        <w:t>k</w:t>
      </w:r>
      <w:r w:rsidRPr="00BD5A26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sektor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manufaktur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kestabilan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bunga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r w:rsidRPr="00BD5A26">
        <w:rPr>
          <w:rFonts w:asciiTheme="majorBidi" w:hAnsiTheme="majorBidi" w:cstheme="majorBidi"/>
          <w:sz w:val="24"/>
          <w:szCs w:val="24"/>
        </w:rPr>
        <w:lastRenderedPageBreak/>
        <w:t xml:space="preserve">investor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mengestimasi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keuntungan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BD5A26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dimasa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. </w:t>
      </w:r>
    </w:p>
    <w:p w:rsidR="00AA7171" w:rsidRPr="00BD5A26" w:rsidRDefault="00AA7171" w:rsidP="007E0BC2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D5A26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potensi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menyerap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sektor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5A26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BD5A26">
        <w:rPr>
          <w:rFonts w:asciiTheme="majorBidi" w:hAnsiTheme="majorBidi" w:cstheme="majorBidi"/>
          <w:sz w:val="24"/>
          <w:szCs w:val="24"/>
        </w:rPr>
        <w:t>.</w:t>
      </w:r>
    </w:p>
    <w:p w:rsidR="00AA7171" w:rsidRPr="003C198B" w:rsidRDefault="00AA7171" w:rsidP="007E0BC2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C198B">
        <w:rPr>
          <w:rFonts w:asciiTheme="majorBidi" w:hAnsiTheme="majorBidi" w:cstheme="majorBidi"/>
          <w:sz w:val="24"/>
          <w:szCs w:val="24"/>
        </w:rPr>
        <w:t>Mendorong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sektor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memacu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laju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sektor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dukung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meningkatnya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. </w:t>
      </w:r>
    </w:p>
    <w:p w:rsidR="00AA7171" w:rsidRPr="003C198B" w:rsidRDefault="00AA7171" w:rsidP="007E0BC2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C198B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disektor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sektor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menyerap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disektor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C198B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3C198B">
        <w:rPr>
          <w:rFonts w:asciiTheme="majorBidi" w:hAnsiTheme="majorBidi" w:cstheme="majorBidi"/>
          <w:sz w:val="24"/>
          <w:szCs w:val="24"/>
        </w:rPr>
        <w:t>.</w:t>
      </w:r>
    </w:p>
    <w:p w:rsidR="00AA7171" w:rsidRDefault="00AA7171" w:rsidP="007E0BC2">
      <w:pPr>
        <w:spacing w:line="360" w:lineRule="auto"/>
      </w:pPr>
    </w:p>
    <w:p w:rsidR="003A048C" w:rsidRDefault="003A048C" w:rsidP="007E0BC2">
      <w:pPr>
        <w:spacing w:line="360" w:lineRule="auto"/>
      </w:pPr>
    </w:p>
    <w:p w:rsidR="007E0BC2" w:rsidRDefault="007E0BC2" w:rsidP="007E0BC2">
      <w:pPr>
        <w:spacing w:line="360" w:lineRule="auto"/>
      </w:pPr>
    </w:p>
    <w:sectPr w:rsidR="007E0BC2" w:rsidSect="00CD34BC">
      <w:headerReference w:type="even" r:id="rId8"/>
      <w:headerReference w:type="default" r:id="rId9"/>
      <w:footerReference w:type="default" r:id="rId10"/>
      <w:footerReference w:type="first" r:id="rId11"/>
      <w:pgSz w:w="10319" w:h="14572" w:code="13"/>
      <w:pgMar w:top="1701" w:right="1701" w:bottom="1701" w:left="1701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9B" w:rsidRDefault="0022469B" w:rsidP="00AA7171">
      <w:pPr>
        <w:spacing w:after="0" w:line="240" w:lineRule="auto"/>
      </w:pPr>
      <w:r>
        <w:separator/>
      </w:r>
    </w:p>
  </w:endnote>
  <w:endnote w:type="continuationSeparator" w:id="0">
    <w:p w:rsidR="0022469B" w:rsidRDefault="0022469B" w:rsidP="00AA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1E" w:rsidRDefault="0022469B" w:rsidP="009C491E">
    <w:pPr>
      <w:pStyle w:val="Footer"/>
    </w:pPr>
  </w:p>
  <w:p w:rsidR="009C491E" w:rsidRDefault="00224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71" w:rsidRPr="00CD34BC" w:rsidRDefault="00CD34BC" w:rsidP="00AA7171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9B" w:rsidRDefault="0022469B" w:rsidP="00AA7171">
      <w:pPr>
        <w:spacing w:after="0" w:line="240" w:lineRule="auto"/>
      </w:pPr>
      <w:r>
        <w:separator/>
      </w:r>
    </w:p>
  </w:footnote>
  <w:footnote w:type="continuationSeparator" w:id="0">
    <w:p w:rsidR="0022469B" w:rsidRDefault="0022469B" w:rsidP="00AA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19130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7E0BC2" w:rsidRPr="007E0BC2" w:rsidRDefault="007E0BC2" w:rsidP="00CD34BC">
        <w:pPr>
          <w:pStyle w:val="Header"/>
          <w:jc w:val="right"/>
          <w:rPr>
            <w:rFonts w:asciiTheme="majorBidi" w:hAnsiTheme="majorBidi" w:cstheme="majorBidi"/>
          </w:rPr>
        </w:pPr>
        <w:r w:rsidRPr="007E0BC2">
          <w:rPr>
            <w:rFonts w:asciiTheme="majorBidi" w:hAnsiTheme="majorBidi" w:cstheme="majorBidi"/>
          </w:rPr>
          <w:fldChar w:fldCharType="begin"/>
        </w:r>
        <w:r w:rsidRPr="007E0BC2">
          <w:rPr>
            <w:rFonts w:asciiTheme="majorBidi" w:hAnsiTheme="majorBidi" w:cstheme="majorBidi"/>
          </w:rPr>
          <w:instrText xml:space="preserve"> PAGE   \* MERGEFORMAT </w:instrText>
        </w:r>
        <w:r w:rsidRPr="007E0BC2">
          <w:rPr>
            <w:rFonts w:asciiTheme="majorBidi" w:hAnsiTheme="majorBidi" w:cstheme="majorBidi"/>
          </w:rPr>
          <w:fldChar w:fldCharType="separate"/>
        </w:r>
        <w:r w:rsidR="00CD34BC">
          <w:rPr>
            <w:rFonts w:asciiTheme="majorBidi" w:hAnsiTheme="majorBidi" w:cstheme="majorBidi"/>
            <w:noProof/>
          </w:rPr>
          <w:t>76</w:t>
        </w:r>
        <w:r w:rsidRPr="007E0BC2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7E0BC2" w:rsidRDefault="007E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6264473"/>
      <w:docPartObj>
        <w:docPartGallery w:val="Page Numbers (Top of Page)"/>
        <w:docPartUnique/>
      </w:docPartObj>
    </w:sdtPr>
    <w:sdtEndPr/>
    <w:sdtContent>
      <w:p w:rsidR="00CF5FAF" w:rsidRPr="007E0BC2" w:rsidRDefault="004F0B07" w:rsidP="00CD34BC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7E0BC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7E0BC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E0BC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D34BC">
          <w:rPr>
            <w:rFonts w:asciiTheme="majorBidi" w:hAnsiTheme="majorBidi" w:cstheme="majorBidi"/>
            <w:noProof/>
            <w:sz w:val="24"/>
            <w:szCs w:val="24"/>
          </w:rPr>
          <w:t>75</w:t>
        </w:r>
        <w:r w:rsidRPr="007E0BC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A7171" w:rsidRPr="007E0BC2" w:rsidRDefault="00AA7171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D34"/>
    <w:multiLevelType w:val="hybridMultilevel"/>
    <w:tmpl w:val="A7422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5A67"/>
    <w:multiLevelType w:val="hybridMultilevel"/>
    <w:tmpl w:val="12AE19C6"/>
    <w:lvl w:ilvl="0" w:tplc="1A582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F740A"/>
    <w:multiLevelType w:val="hybridMultilevel"/>
    <w:tmpl w:val="28C466B0"/>
    <w:lvl w:ilvl="0" w:tplc="825EF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71"/>
    <w:rsid w:val="00083E0C"/>
    <w:rsid w:val="0022469B"/>
    <w:rsid w:val="003A048C"/>
    <w:rsid w:val="00446D09"/>
    <w:rsid w:val="004F0B07"/>
    <w:rsid w:val="005E64C3"/>
    <w:rsid w:val="007E0BC2"/>
    <w:rsid w:val="007E2CEB"/>
    <w:rsid w:val="0097274B"/>
    <w:rsid w:val="00AA7171"/>
    <w:rsid w:val="00AE2338"/>
    <w:rsid w:val="00CD34BC"/>
    <w:rsid w:val="00CF5FAF"/>
    <w:rsid w:val="00DF5C96"/>
    <w:rsid w:val="00E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71"/>
  </w:style>
  <w:style w:type="paragraph" w:styleId="BalloonText">
    <w:name w:val="Balloon Text"/>
    <w:basedOn w:val="Normal"/>
    <w:link w:val="BalloonTextChar"/>
    <w:uiPriority w:val="99"/>
    <w:semiHidden/>
    <w:unhideWhenUsed/>
    <w:rsid w:val="00AA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dcterms:created xsi:type="dcterms:W3CDTF">2017-11-14T09:56:00Z</dcterms:created>
  <dcterms:modified xsi:type="dcterms:W3CDTF">2017-11-21T01:43:00Z</dcterms:modified>
</cp:coreProperties>
</file>