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FCF62" w14:textId="1E0CC9E8" w:rsidR="002F1309" w:rsidRPr="00FA3BAE" w:rsidRDefault="002F1309" w:rsidP="00FA3BAE">
      <w:pPr>
        <w:spacing w:line="360" w:lineRule="auto"/>
        <w:jc w:val="center"/>
        <w:rPr>
          <w:rFonts w:asciiTheme="majorBidi" w:hAnsiTheme="majorBidi" w:cstheme="majorBidi"/>
          <w:b/>
          <w:bCs/>
          <w:sz w:val="24"/>
          <w:szCs w:val="24"/>
          <w:lang w:val="en-US"/>
        </w:rPr>
      </w:pPr>
      <w:r w:rsidRPr="00FA3BAE">
        <w:rPr>
          <w:rFonts w:asciiTheme="majorBidi" w:hAnsiTheme="majorBidi" w:cstheme="majorBidi"/>
          <w:b/>
          <w:bCs/>
          <w:sz w:val="24"/>
          <w:szCs w:val="24"/>
        </w:rPr>
        <w:t>“</w:t>
      </w:r>
      <w:r w:rsidR="004F623F" w:rsidRPr="00FA3BAE">
        <w:rPr>
          <w:rStyle w:val="fontstyle01"/>
          <w:rFonts w:asciiTheme="majorBidi" w:hAnsiTheme="majorBidi" w:cstheme="majorBidi"/>
          <w:b/>
          <w:bCs/>
        </w:rPr>
        <w:t>HUBUNGAN AGAMA DAN AKAL DALAM KONTEKS FILSAFAT PENDIDIKAN ISLAM PERSFEKTIF IBNU RUSYD</w:t>
      </w:r>
      <w:r w:rsidR="00A46CDF">
        <w:rPr>
          <w:rStyle w:val="fontstyle01"/>
          <w:rFonts w:asciiTheme="majorBidi" w:hAnsiTheme="majorBidi" w:cstheme="majorBidi"/>
          <w:b/>
          <w:bCs/>
        </w:rPr>
        <w:t xml:space="preserve"> DAN IBNU TAIMIYYAH</w:t>
      </w:r>
      <w:r w:rsidRPr="00FA3BAE">
        <w:rPr>
          <w:rStyle w:val="fontstyle01"/>
          <w:rFonts w:asciiTheme="majorBidi" w:hAnsiTheme="majorBidi" w:cstheme="majorBidi"/>
          <w:b/>
          <w:bCs/>
        </w:rPr>
        <w:t>”</w:t>
      </w:r>
    </w:p>
    <w:p w14:paraId="2343C9B4" w14:textId="77777777" w:rsidR="002F1309" w:rsidRPr="00FA3BAE" w:rsidRDefault="002F1309" w:rsidP="00FA3BAE">
      <w:pPr>
        <w:spacing w:line="360" w:lineRule="auto"/>
        <w:jc w:val="center"/>
        <w:rPr>
          <w:rFonts w:asciiTheme="majorBidi" w:hAnsiTheme="majorBidi" w:cstheme="majorBidi"/>
          <w:sz w:val="24"/>
          <w:szCs w:val="24"/>
          <w:lang w:val="en-US"/>
        </w:rPr>
      </w:pPr>
      <w:bookmarkStart w:id="0" w:name="_GoBack"/>
      <w:r w:rsidRPr="00FA3BAE">
        <w:rPr>
          <w:rFonts w:asciiTheme="majorBidi" w:hAnsiTheme="majorBidi" w:cstheme="majorBidi"/>
          <w:sz w:val="24"/>
          <w:szCs w:val="24"/>
          <w:lang w:val="en-US"/>
        </w:rPr>
        <w:t>Illa Fadhliya Lalahwa</w:t>
      </w:r>
      <w:bookmarkEnd w:id="0"/>
      <w:r w:rsidRPr="00FA3BAE">
        <w:rPr>
          <w:rFonts w:asciiTheme="majorBidi" w:hAnsiTheme="majorBidi" w:cstheme="majorBidi"/>
          <w:sz w:val="24"/>
          <w:szCs w:val="24"/>
          <w:lang w:val="en-US"/>
        </w:rPr>
        <w:t>, Agus Gunawan, Muhajir Muhajir.</w:t>
      </w:r>
    </w:p>
    <w:p w14:paraId="7A9DD5D4" w14:textId="77777777" w:rsidR="002F1309" w:rsidRPr="00FA3BAE" w:rsidRDefault="002F1309" w:rsidP="00FA3BAE">
      <w:pPr>
        <w:spacing w:line="360" w:lineRule="auto"/>
        <w:jc w:val="center"/>
        <w:rPr>
          <w:rFonts w:asciiTheme="majorBidi" w:hAnsiTheme="majorBidi" w:cstheme="majorBidi"/>
          <w:sz w:val="24"/>
          <w:szCs w:val="24"/>
          <w:lang w:val="en-US"/>
        </w:rPr>
      </w:pPr>
      <w:r w:rsidRPr="00FA3BAE">
        <w:rPr>
          <w:rFonts w:asciiTheme="majorBidi" w:hAnsiTheme="majorBidi" w:cstheme="majorBidi"/>
          <w:sz w:val="24"/>
          <w:szCs w:val="24"/>
          <w:lang w:val="en-US"/>
        </w:rPr>
        <w:t>Universitas islam negeri sultan maulana hasanuddin Banten</w:t>
      </w:r>
    </w:p>
    <w:p w14:paraId="5AC9A83B" w14:textId="7055F836" w:rsidR="002F1309" w:rsidRPr="00FA3BAE" w:rsidRDefault="00AD7EED" w:rsidP="00FA3BAE">
      <w:pPr>
        <w:spacing w:line="360" w:lineRule="auto"/>
        <w:jc w:val="center"/>
        <w:rPr>
          <w:rFonts w:asciiTheme="majorBidi" w:hAnsiTheme="majorBidi" w:cstheme="majorBidi"/>
          <w:sz w:val="24"/>
          <w:szCs w:val="24"/>
          <w:lang w:val="en-US"/>
        </w:rPr>
      </w:pPr>
      <w:hyperlink r:id="rId9" w:history="1">
        <w:r w:rsidR="002F1309" w:rsidRPr="00FA3BAE">
          <w:rPr>
            <w:rStyle w:val="Hyperlink"/>
            <w:rFonts w:asciiTheme="majorBidi" w:hAnsiTheme="majorBidi" w:cstheme="majorBidi"/>
            <w:sz w:val="24"/>
            <w:szCs w:val="24"/>
            <w:lang w:val="en-US"/>
          </w:rPr>
          <w:t>232622102.ila@uinbanten.ac.id</w:t>
        </w:r>
      </w:hyperlink>
    </w:p>
    <w:p w14:paraId="2F4499F1" w14:textId="0E93B44C" w:rsidR="002F1309" w:rsidRPr="00FA3BAE" w:rsidRDefault="002F1309" w:rsidP="000176FD">
      <w:pPr>
        <w:pStyle w:val="NormalWeb"/>
        <w:spacing w:before="0" w:beforeAutospacing="0" w:after="0" w:afterAutospacing="0" w:line="360" w:lineRule="auto"/>
        <w:ind w:firstLine="567"/>
        <w:jc w:val="center"/>
      </w:pPr>
      <w:r w:rsidRPr="00FA3BAE">
        <w:rPr>
          <w:rFonts w:ascii="Garamond" w:hAnsi="Garamond"/>
          <w:b/>
          <w:bCs/>
          <w:color w:val="000000"/>
        </w:rPr>
        <w:t>Abstract</w:t>
      </w:r>
    </w:p>
    <w:p w14:paraId="07A2B5AD" w14:textId="77777777" w:rsidR="00F05919" w:rsidRDefault="00F05919" w:rsidP="00F05919">
      <w:pPr>
        <w:pStyle w:val="NormalWeb"/>
        <w:spacing w:before="0" w:beforeAutospacing="0" w:after="0" w:afterAutospacing="0"/>
        <w:ind w:left="567" w:right="661"/>
        <w:jc w:val="both"/>
        <w:rPr>
          <w:rFonts w:ascii="Garamond" w:hAnsi="Garamond"/>
          <w:color w:val="000000"/>
          <w:sz w:val="22"/>
          <w:szCs w:val="22"/>
        </w:rPr>
      </w:pPr>
      <w:r w:rsidRPr="00F05919">
        <w:rPr>
          <w:rFonts w:ascii="Garamond" w:hAnsi="Garamond"/>
          <w:color w:val="000000"/>
          <w:sz w:val="22"/>
          <w:szCs w:val="22"/>
        </w:rPr>
        <w:t>This article examines the leading philosophical thoughts of Ibn Rushd and Ibn Taymiyyah in terms of the relationship between religion and reason in the context of Ibn Rushd and Ibn Taymiyyah's perspective of Islamic educational philosophy in which it discusses the role of religion, science and philosophy. All three of which are inseparably linked. Islam places great emphasis on knowledge, both rational and empirical science, and requires its followers to seek knowledge, because only with knowledge can humans understand religion and practice religious values. The purpose of this article is to provide readers with an understanding of the relationship between religion and reason in the context of Islamic educational philosophy. This research method uses library research methods or library studies, information sources are taken based on books and journals that have been published. The conclusion that can be drawn from Ibn Rushd is that being busy with philosophy does not cause aqidah and religion to become damaged. Because philosophy does not conflict with religion, while religion does not deny philosophy, in fact it advances and strengthens it, because religion is commanded to research and think about the universe. In general, philosophizing is nothing more than examining forms in terms of their indication of the existence of a Creator. Ibn Taimiyah emphasized that in principle revelation and reason cannot conflict with each other. And if it is forced, there will be a conflict between the two, the conflict that arises is the argument, namely about the status of qat'i zanni, not about its status as revelation and reason.</w:t>
      </w:r>
    </w:p>
    <w:p w14:paraId="4FB0E99C" w14:textId="77777777" w:rsidR="00F05919" w:rsidRDefault="00F05919" w:rsidP="00F05919">
      <w:pPr>
        <w:pStyle w:val="NormalWeb"/>
        <w:spacing w:before="0" w:beforeAutospacing="0" w:after="0" w:afterAutospacing="0"/>
        <w:ind w:left="567" w:right="661"/>
        <w:jc w:val="both"/>
        <w:rPr>
          <w:rFonts w:ascii="Garamond" w:hAnsi="Garamond"/>
          <w:color w:val="000000"/>
          <w:sz w:val="22"/>
          <w:szCs w:val="22"/>
        </w:rPr>
      </w:pPr>
    </w:p>
    <w:p w14:paraId="52A4D60D" w14:textId="2C99140B" w:rsidR="002F1309" w:rsidRDefault="002F1309" w:rsidP="00F05919">
      <w:pPr>
        <w:pStyle w:val="NormalWeb"/>
        <w:spacing w:before="0" w:beforeAutospacing="0" w:after="0" w:afterAutospacing="0"/>
        <w:ind w:left="567" w:right="661"/>
        <w:jc w:val="both"/>
        <w:rPr>
          <w:rFonts w:ascii="Garamond" w:hAnsi="Garamond"/>
          <w:color w:val="000000"/>
          <w:sz w:val="22"/>
          <w:szCs w:val="22"/>
        </w:rPr>
      </w:pPr>
      <w:r w:rsidRPr="000176FD">
        <w:rPr>
          <w:rFonts w:ascii="Garamond" w:hAnsi="Garamond"/>
          <w:b/>
          <w:bCs/>
          <w:color w:val="000000"/>
          <w:sz w:val="22"/>
          <w:szCs w:val="22"/>
        </w:rPr>
        <w:t>Keywords:</w:t>
      </w:r>
      <w:r w:rsidRPr="000176FD">
        <w:rPr>
          <w:rFonts w:ascii="Garamond" w:hAnsi="Garamond"/>
          <w:color w:val="000000"/>
          <w:sz w:val="22"/>
          <w:szCs w:val="22"/>
        </w:rPr>
        <w:t xml:space="preserve"> </w:t>
      </w:r>
      <w:r w:rsidR="002173C5" w:rsidRPr="002173C5">
        <w:rPr>
          <w:rFonts w:ascii="Garamond" w:hAnsi="Garamond"/>
          <w:color w:val="000000"/>
          <w:sz w:val="22"/>
          <w:szCs w:val="22"/>
        </w:rPr>
        <w:t>Religion, Reason, Philosophy, Ibn Rushd</w:t>
      </w:r>
      <w:r w:rsidR="00F05919">
        <w:rPr>
          <w:rFonts w:ascii="Garamond" w:hAnsi="Garamond"/>
          <w:color w:val="000000"/>
          <w:sz w:val="22"/>
          <w:szCs w:val="22"/>
        </w:rPr>
        <w:t>, Ibn Taimiyyah.</w:t>
      </w:r>
    </w:p>
    <w:p w14:paraId="5EBA2046" w14:textId="77777777" w:rsidR="00F05919" w:rsidRPr="002173C5" w:rsidRDefault="00F05919" w:rsidP="00F05919">
      <w:pPr>
        <w:pStyle w:val="NormalWeb"/>
        <w:spacing w:before="0" w:beforeAutospacing="0" w:after="0" w:afterAutospacing="0"/>
        <w:ind w:left="567" w:right="661"/>
        <w:jc w:val="both"/>
        <w:rPr>
          <w:rFonts w:ascii="Garamond" w:hAnsi="Garamond"/>
        </w:rPr>
      </w:pPr>
    </w:p>
    <w:p w14:paraId="608DCF7C" w14:textId="3FE22E4A" w:rsidR="002F1309" w:rsidRPr="00FA3BAE" w:rsidRDefault="002F1309" w:rsidP="000176FD">
      <w:pPr>
        <w:pStyle w:val="NormalWeb"/>
        <w:spacing w:before="0" w:beforeAutospacing="0" w:after="0" w:afterAutospacing="0" w:line="360" w:lineRule="auto"/>
        <w:ind w:left="567" w:right="661"/>
        <w:jc w:val="center"/>
      </w:pPr>
      <w:r w:rsidRPr="00FA3BAE">
        <w:rPr>
          <w:rFonts w:ascii="Garamond" w:hAnsi="Garamond"/>
          <w:b/>
          <w:bCs/>
          <w:color w:val="000000"/>
        </w:rPr>
        <w:t>Abstrak</w:t>
      </w:r>
    </w:p>
    <w:p w14:paraId="135A44A8" w14:textId="09C19642" w:rsidR="002F1309" w:rsidRPr="007A1008" w:rsidRDefault="007A1008" w:rsidP="000176FD">
      <w:pPr>
        <w:spacing w:line="240" w:lineRule="auto"/>
        <w:ind w:left="567" w:right="651"/>
        <w:jc w:val="both"/>
        <w:rPr>
          <w:rFonts w:ascii="Garamond" w:hAnsi="Garamond" w:cstheme="majorBidi"/>
          <w:lang w:val="en-US"/>
        </w:rPr>
      </w:pPr>
      <w:r w:rsidRPr="007A1008">
        <w:rPr>
          <w:rFonts w:ascii="Garamond" w:hAnsi="Garamond" w:cstheme="majorBidi"/>
          <w:lang w:val="en-US"/>
        </w:rPr>
        <w:t xml:space="preserve">Artikel ini menelaah pemikiran </w:t>
      </w:r>
      <w:r w:rsidR="00F05919">
        <w:rPr>
          <w:rFonts w:ascii="Garamond" w:hAnsi="Garamond" w:cstheme="majorBidi"/>
          <w:lang w:val="en-US"/>
        </w:rPr>
        <w:t xml:space="preserve">filsuf terkemuka </w:t>
      </w:r>
      <w:r w:rsidRPr="007A1008">
        <w:rPr>
          <w:rFonts w:ascii="Garamond" w:hAnsi="Garamond" w:cstheme="majorBidi"/>
          <w:lang w:val="en-US"/>
        </w:rPr>
        <w:t xml:space="preserve">ibnu rusyd </w:t>
      </w:r>
      <w:r w:rsidR="00F05919">
        <w:rPr>
          <w:rFonts w:ascii="Garamond" w:hAnsi="Garamond" w:cstheme="majorBidi"/>
          <w:lang w:val="en-US"/>
        </w:rPr>
        <w:t xml:space="preserve">dan ibnu taimiyyah </w:t>
      </w:r>
      <w:r w:rsidRPr="007A1008">
        <w:rPr>
          <w:rFonts w:ascii="Garamond" w:hAnsi="Garamond" w:cstheme="majorBidi"/>
          <w:lang w:val="en-US"/>
        </w:rPr>
        <w:t xml:space="preserve">dalam hal </w:t>
      </w:r>
      <w:r>
        <w:rPr>
          <w:rFonts w:ascii="Garamond" w:hAnsi="Garamond" w:cstheme="majorBidi"/>
          <w:lang w:val="en-US"/>
        </w:rPr>
        <w:t>hubungan agama dan akal dalam konteks filsafat pendidikan islam persfektif ibnu rusyd</w:t>
      </w:r>
      <w:r w:rsidR="000176FD">
        <w:rPr>
          <w:rFonts w:ascii="Garamond" w:hAnsi="Garamond" w:cstheme="majorBidi"/>
          <w:lang w:val="en-US"/>
        </w:rPr>
        <w:t xml:space="preserve"> </w:t>
      </w:r>
      <w:r w:rsidR="00F05919">
        <w:rPr>
          <w:rFonts w:ascii="Garamond" w:hAnsi="Garamond" w:cstheme="majorBidi"/>
          <w:lang w:val="en-US"/>
        </w:rPr>
        <w:t xml:space="preserve">dan ibnu taimiyyah </w:t>
      </w:r>
      <w:r w:rsidR="000176FD">
        <w:rPr>
          <w:rFonts w:ascii="Garamond" w:hAnsi="Garamond" w:cstheme="majorBidi"/>
          <w:lang w:val="en-US"/>
        </w:rPr>
        <w:t xml:space="preserve">didalamnya </w:t>
      </w:r>
      <w:r w:rsidR="000176FD" w:rsidRPr="000176FD">
        <w:rPr>
          <w:rFonts w:ascii="Garamond" w:hAnsi="Garamond"/>
        </w:rPr>
        <w:t xml:space="preserve">membahas tentang peranan agama, ilmu dan filsafat. </w:t>
      </w:r>
      <w:r w:rsidR="000176FD">
        <w:rPr>
          <w:rFonts w:ascii="Garamond" w:hAnsi="Garamond"/>
        </w:rPr>
        <w:t>Yang mana k</w:t>
      </w:r>
      <w:r w:rsidR="000176FD" w:rsidRPr="000176FD">
        <w:rPr>
          <w:rFonts w:ascii="Garamond" w:hAnsi="Garamond"/>
        </w:rPr>
        <w:t>etiganya memiliki keterkaitan yang tak terpisahkan. Islam sangat mengutamakan ilmu baik ilmu rasio maupun empiris dan mewajibkan kepada umatnya untuk mencari ilmu, karena hanya dengan ilmulah manusia dapat memahami agama dan mengamalkan nilai-nilai agama</w:t>
      </w:r>
      <w:r w:rsidR="000176FD">
        <w:rPr>
          <w:rFonts w:ascii="Garamond" w:hAnsi="Garamond"/>
        </w:rPr>
        <w:t xml:space="preserve">. </w:t>
      </w:r>
      <w:r w:rsidRPr="000176FD">
        <w:rPr>
          <w:rFonts w:ascii="Garamond" w:hAnsi="Garamond" w:cstheme="majorBidi"/>
          <w:lang w:val="en-US"/>
        </w:rPr>
        <w:t>Tujuan</w:t>
      </w:r>
      <w:r w:rsidRPr="007A1008">
        <w:rPr>
          <w:rFonts w:ascii="Garamond" w:hAnsi="Garamond" w:cstheme="majorBidi"/>
          <w:lang w:val="en-US"/>
        </w:rPr>
        <w:t xml:space="preserve"> artikel ini adalah untuk memberikan pemahaman kepada pembaca mengenai </w:t>
      </w:r>
      <w:r>
        <w:rPr>
          <w:rFonts w:ascii="Garamond" w:hAnsi="Garamond" w:cstheme="majorBidi"/>
          <w:lang w:val="en-US"/>
        </w:rPr>
        <w:t>hubungan agama dan akal dalam konteks filsafat pendidikan islam</w:t>
      </w:r>
      <w:r w:rsidRPr="007A1008">
        <w:rPr>
          <w:rFonts w:ascii="Garamond" w:hAnsi="Garamond" w:cstheme="majorBidi"/>
          <w:lang w:val="en-US"/>
        </w:rPr>
        <w:t>. Metode penelitain ini menggunakan metode library research atau studi pustaka sumber informasi diambil berdasarkan buku dan jurnal yang telah diterbitkan. Kesimpulan yang dapat diambil dari</w:t>
      </w:r>
      <w:r w:rsidRPr="007A1008">
        <w:rPr>
          <w:rFonts w:ascii="Garamond" w:hAnsi="Garamond" w:cstheme="majorBidi"/>
          <w:b/>
          <w:bCs/>
          <w:lang w:val="en-US"/>
        </w:rPr>
        <w:t xml:space="preserve"> </w:t>
      </w:r>
      <w:r w:rsidRPr="007A1008">
        <w:rPr>
          <w:rFonts w:ascii="Garamond" w:hAnsi="Garamond" w:cstheme="majorBidi"/>
          <w:lang w:val="en-US"/>
        </w:rPr>
        <w:t>Ibn Rusyd bahwa kesibukan dengan filsafat tidaklah membuat aqidah dan agama menjadi rusak. Sebab filsafat tidaklah bertentangan dengan agama, sedang agama tidak mengingkari filsafat, bahkan menganjurkan justru dan menyerukannya, karena agama memerintahkan untuk meneliti dan merenungkan alam raya. Secara umum berfilsafat itu tak lain adalah meneliti wujud-</w:t>
      </w:r>
      <w:r w:rsidRPr="007A1008">
        <w:rPr>
          <w:rFonts w:ascii="Garamond" w:hAnsi="Garamond" w:cstheme="majorBidi"/>
          <w:lang w:val="en-US"/>
        </w:rPr>
        <w:lastRenderedPageBreak/>
        <w:t>wujud dari sisi penunjukannya atas adanya Pencipta</w:t>
      </w:r>
      <w:r w:rsidR="000176FD">
        <w:rPr>
          <w:rFonts w:ascii="Garamond" w:hAnsi="Garamond" w:cstheme="majorBidi"/>
          <w:lang w:val="en-US"/>
        </w:rPr>
        <w:t>.</w:t>
      </w:r>
      <w:r w:rsidR="00F05919">
        <w:rPr>
          <w:rFonts w:ascii="Garamond" w:hAnsi="Garamond" w:cstheme="majorBidi"/>
          <w:lang w:val="en-US"/>
        </w:rPr>
        <w:t xml:space="preserve"> </w:t>
      </w:r>
      <w:r w:rsidR="00F05919" w:rsidRPr="00F05919">
        <w:rPr>
          <w:rFonts w:ascii="Garamond" w:hAnsi="Garamond" w:cstheme="majorBidi"/>
          <w:lang w:val="en-US"/>
        </w:rPr>
        <w:t>Ibnu Taimiyah menegaskan bahwa pada prinsipnya wahyu dan akal tidak bisa saling bertentangan. Dan jika dipaksakan maka akan terjadi pertentangan diantara keduanya, pertentangan yang timbul adalah dalil yaitu tentang status qat’i zanni, bukan tentang statusnya sebagai wahyu dan akal.</w:t>
      </w:r>
    </w:p>
    <w:p w14:paraId="090892DD" w14:textId="0BA019F9" w:rsidR="004F623F" w:rsidRPr="007A1008" w:rsidRDefault="002F1309" w:rsidP="000176FD">
      <w:pPr>
        <w:pStyle w:val="NormalWeb"/>
        <w:spacing w:before="0" w:beforeAutospacing="0" w:after="0" w:afterAutospacing="0" w:line="360" w:lineRule="auto"/>
        <w:ind w:right="661" w:firstLine="567"/>
        <w:jc w:val="both"/>
        <w:rPr>
          <w:rFonts w:ascii="Garamond" w:hAnsi="Garamond"/>
          <w:color w:val="000000"/>
          <w:sz w:val="22"/>
          <w:szCs w:val="22"/>
        </w:rPr>
      </w:pPr>
      <w:r w:rsidRPr="007A1008">
        <w:rPr>
          <w:rFonts w:ascii="Garamond" w:hAnsi="Garamond"/>
          <w:b/>
          <w:bCs/>
          <w:color w:val="000000"/>
          <w:sz w:val="22"/>
          <w:szCs w:val="22"/>
        </w:rPr>
        <w:t>Kata Kunci</w:t>
      </w:r>
      <w:r w:rsidRPr="007A1008">
        <w:rPr>
          <w:rFonts w:ascii="Garamond" w:hAnsi="Garamond"/>
          <w:color w:val="000000"/>
          <w:sz w:val="22"/>
          <w:szCs w:val="22"/>
        </w:rPr>
        <w:t xml:space="preserve">: </w:t>
      </w:r>
      <w:r w:rsidR="000C2E43" w:rsidRPr="007A1008">
        <w:rPr>
          <w:rFonts w:ascii="Garamond" w:hAnsi="Garamond"/>
          <w:color w:val="000000"/>
          <w:sz w:val="22"/>
          <w:szCs w:val="22"/>
        </w:rPr>
        <w:t>Agama, Akal, Filsafat, Ibnu Rusyd</w:t>
      </w:r>
      <w:r w:rsidR="00F05919">
        <w:rPr>
          <w:rFonts w:ascii="Garamond" w:hAnsi="Garamond"/>
          <w:color w:val="000000"/>
          <w:sz w:val="22"/>
          <w:szCs w:val="22"/>
        </w:rPr>
        <w:t>,</w:t>
      </w:r>
      <w:r w:rsidR="00F05919">
        <w:rPr>
          <w:rFonts w:ascii="Garamond" w:hAnsi="Garamond" w:cstheme="majorBidi"/>
          <w:lang w:val="en-US"/>
        </w:rPr>
        <w:t xml:space="preserve"> ibnu taimiyyah.</w:t>
      </w:r>
    </w:p>
    <w:p w14:paraId="03DCC3DA" w14:textId="77777777" w:rsidR="002173C5" w:rsidRPr="00FA3BAE" w:rsidRDefault="002173C5" w:rsidP="00FA3BAE">
      <w:pPr>
        <w:spacing w:line="360" w:lineRule="auto"/>
        <w:rPr>
          <w:sz w:val="24"/>
          <w:szCs w:val="24"/>
        </w:rPr>
      </w:pPr>
    </w:p>
    <w:p w14:paraId="2026075A" w14:textId="77777777" w:rsidR="002F1309" w:rsidRPr="00FA3BAE" w:rsidRDefault="002F1309" w:rsidP="00FA3BAE">
      <w:pPr>
        <w:pStyle w:val="NormalWeb"/>
        <w:spacing w:before="0" w:beforeAutospacing="0" w:after="0" w:afterAutospacing="0" w:line="360" w:lineRule="auto"/>
        <w:jc w:val="both"/>
      </w:pPr>
      <w:r w:rsidRPr="00FA3BAE">
        <w:rPr>
          <w:rFonts w:ascii="Questrial" w:hAnsi="Questrial" w:cs="Questrial"/>
          <w:b/>
          <w:bCs/>
          <w:color w:val="000000"/>
        </w:rPr>
        <w:t>Introduction</w:t>
      </w:r>
    </w:p>
    <w:p w14:paraId="6FDC282A" w14:textId="6FB68CF8" w:rsidR="00DD403E" w:rsidRDefault="00DD403E" w:rsidP="00FA3BAE">
      <w:pPr>
        <w:spacing w:after="240" w:line="360" w:lineRule="auto"/>
        <w:ind w:firstLine="720"/>
        <w:jc w:val="both"/>
        <w:rPr>
          <w:rFonts w:ascii="Palatino Linotype" w:hAnsi="Palatino Linotype"/>
          <w:sz w:val="24"/>
          <w:szCs w:val="24"/>
        </w:rPr>
      </w:pPr>
      <w:r w:rsidRPr="00FA3BAE">
        <w:rPr>
          <w:rFonts w:ascii="Palatino Linotype" w:hAnsi="Palatino Linotype"/>
          <w:sz w:val="24"/>
          <w:szCs w:val="24"/>
        </w:rPr>
        <w:t>Tulisan ini membahas tentang peranan agama, ilmu dan filsafat. Ketiganya memiliki keterkaitan yang tak terpisahkan. Islam sangat mengutamakan ilmu baik ilmu rasio maupun empiris dan mewajibkan kepada umatnya untuk mencari ilmu, karena hanya dengan ilmulah manusia dapat memahami agama dan mengamalkan nilai-nilai agama, sedangkan untuk menguji kebenaran sebuah ajaran atau dogma sangat diperlukan akal, atau ilmu-ilmu yang mengkaji tentang kedudukan akal dalam menemukan kebenaran.</w:t>
      </w:r>
      <w:r w:rsidR="00295F33" w:rsidRPr="00FA3BAE">
        <w:rPr>
          <w:rStyle w:val="FootnoteReference"/>
          <w:rFonts w:ascii="Palatino Linotype" w:hAnsi="Palatino Linotype"/>
          <w:sz w:val="24"/>
          <w:szCs w:val="24"/>
        </w:rPr>
        <w:footnoteReference w:id="1"/>
      </w:r>
      <w:r w:rsidRPr="00FA3BAE">
        <w:rPr>
          <w:rFonts w:ascii="Palatino Linotype" w:hAnsi="Palatino Linotype"/>
          <w:sz w:val="24"/>
          <w:szCs w:val="24"/>
        </w:rPr>
        <w:t xml:space="preserve"> </w:t>
      </w:r>
    </w:p>
    <w:p w14:paraId="47257526" w14:textId="47BB4B6D" w:rsidR="00F05919" w:rsidRPr="00F05919" w:rsidRDefault="00F05919" w:rsidP="00F05919">
      <w:pPr>
        <w:spacing w:line="360" w:lineRule="auto"/>
        <w:ind w:firstLine="360"/>
        <w:jc w:val="both"/>
        <w:rPr>
          <w:rFonts w:ascii="Palatino Linotype" w:hAnsi="Palatino Linotype" w:cstheme="majorBidi"/>
          <w:sz w:val="24"/>
          <w:szCs w:val="24"/>
        </w:rPr>
      </w:pPr>
      <w:r w:rsidRPr="00FA3BAE">
        <w:rPr>
          <w:rFonts w:ascii="Palatino Linotype" w:hAnsi="Palatino Linotype" w:cstheme="majorBidi"/>
          <w:sz w:val="24"/>
          <w:szCs w:val="24"/>
        </w:rPr>
        <w:t>Abu al-Walid Muhammad bin Ahmad bin Muhammad bin Rusyd lahir di Andalusia (Spanyol) tepatnya di kota Kordoba tahun 526H/1198 M. Dibarat ibnu rusyd terkenal dengan sebutan Avveroes ia lahir dan dibesarkan dalam keluarga ahli fiqh, ayahnya Ahmad atau Abu Al Qasim seorang hakim di Kordoba demikian juga kakeknya sangat terkenal sebagai ahli fiqh. Dengan demikian ia lahir dari keluarga terhormat alim dan taat dalam beragama Islam, kakek dan ayahnya penganut mazhab Maliki.</w:t>
      </w:r>
      <w:r w:rsidRPr="00FA3BAE">
        <w:rPr>
          <w:rStyle w:val="FootnoteReference"/>
          <w:rFonts w:ascii="Palatino Linotype" w:hAnsi="Palatino Linotype" w:cstheme="majorBidi"/>
          <w:sz w:val="24"/>
          <w:szCs w:val="24"/>
        </w:rPr>
        <w:footnoteReference w:id="2"/>
      </w:r>
    </w:p>
    <w:p w14:paraId="2EA4A561" w14:textId="77777777" w:rsidR="00CC206C" w:rsidRPr="00CC206C" w:rsidRDefault="00CC206C" w:rsidP="00CC206C">
      <w:pPr>
        <w:spacing w:line="360" w:lineRule="auto"/>
        <w:ind w:firstLine="360"/>
        <w:jc w:val="both"/>
        <w:rPr>
          <w:rFonts w:ascii="Palatino Linotype" w:hAnsi="Palatino Linotype" w:cstheme="majorBidi"/>
          <w:sz w:val="24"/>
          <w:szCs w:val="24"/>
        </w:rPr>
      </w:pPr>
      <w:r w:rsidRPr="00CC206C">
        <w:rPr>
          <w:rFonts w:ascii="Palatino Linotype" w:hAnsi="Palatino Linotype" w:cstheme="majorBidi"/>
          <w:sz w:val="24"/>
          <w:szCs w:val="24"/>
        </w:rPr>
        <w:t xml:space="preserve">Menurut Ernest Renen melihat data diperpustakaan Esccurial di Madrid spanyol bahwa jumlah karya karya ibnu rusyd kurang lebih 78 buku, ada pun bidang bidangnya: bidang Ilmu filsafat 28 buku, bidang Ilmu kedokteran 20 </w:t>
      </w:r>
      <w:r w:rsidRPr="00CC206C">
        <w:rPr>
          <w:rFonts w:ascii="Palatino Linotype" w:hAnsi="Palatino Linotype" w:cstheme="majorBidi"/>
          <w:sz w:val="24"/>
          <w:szCs w:val="24"/>
        </w:rPr>
        <w:lastRenderedPageBreak/>
        <w:t>buku, bidang Ilmu fiqh 8 buku, bidang Ilmu kalam 5 buku, bidang Ilmu astronomi 4 buku, Sasta arab 2 buku, bidang Ilmu lainnya ada 11 buku.</w:t>
      </w:r>
      <w:r w:rsidRPr="00CC206C">
        <w:rPr>
          <w:rStyle w:val="FootnoteReference"/>
          <w:rFonts w:ascii="Palatino Linotype" w:hAnsi="Palatino Linotype" w:cstheme="majorBidi"/>
          <w:sz w:val="24"/>
          <w:szCs w:val="24"/>
        </w:rPr>
        <w:footnoteReference w:id="3"/>
      </w:r>
    </w:p>
    <w:p w14:paraId="7D695247" w14:textId="77777777" w:rsidR="00CC206C" w:rsidRPr="00CC206C" w:rsidRDefault="00CC206C" w:rsidP="00CC206C">
      <w:pPr>
        <w:spacing w:line="360" w:lineRule="auto"/>
        <w:ind w:firstLine="360"/>
        <w:jc w:val="both"/>
        <w:rPr>
          <w:rFonts w:ascii="Palatino Linotype" w:hAnsi="Palatino Linotype" w:cstheme="majorBidi"/>
          <w:sz w:val="24"/>
          <w:szCs w:val="24"/>
        </w:rPr>
      </w:pPr>
      <w:r w:rsidRPr="00CC206C">
        <w:rPr>
          <w:rFonts w:ascii="Palatino Linotype" w:hAnsi="Palatino Linotype" w:cstheme="majorBidi"/>
          <w:sz w:val="24"/>
          <w:szCs w:val="24"/>
        </w:rPr>
        <w:t>Setelah Ada 2 tragedi besar Semua karya karyanya telah diterjemahkan kedalam Bahasa latin dan ibrani bukan Bahasa aslinya yaitu Bahasa arab. Tragedi pertama Ketika ia dituduh kafir, diadili dan dibuang di Alesana (Lucenna) saat itu semua bukunya dibakar kecuali yang bersifat sains (ilmu pengetahuan murni) seperti kedokteran, matematika, dan astronomi. Tragedi kedua Saat jatuhnya Andalusia ketangan ferdinant II dan Isabella. Jendral Ximenes yang fanantik dengan kemenangan Kristen membakar habis semua buku yang berbau arab. Ini lah yang menyebabkan karya orisinil ibnu rusyd sukar ditemukan.</w:t>
      </w:r>
    </w:p>
    <w:p w14:paraId="4C86580A" w14:textId="77777777" w:rsidR="00CC206C" w:rsidRPr="00CC206C" w:rsidRDefault="00CC206C" w:rsidP="00CC206C">
      <w:pPr>
        <w:pStyle w:val="ListParagraph"/>
        <w:spacing w:line="360" w:lineRule="auto"/>
        <w:jc w:val="both"/>
        <w:rPr>
          <w:rStyle w:val="fontstyle01"/>
          <w:rFonts w:ascii="Palatino Linotype" w:hAnsi="Palatino Linotype" w:cstheme="majorBidi"/>
          <w:color w:val="auto"/>
          <w:lang w:val="en-US"/>
        </w:rPr>
      </w:pPr>
      <w:r w:rsidRPr="00CC206C">
        <w:rPr>
          <w:rStyle w:val="fontstyle01"/>
          <w:rFonts w:ascii="Palatino Linotype" w:hAnsi="Palatino Linotype" w:cstheme="majorBidi"/>
          <w:color w:val="auto"/>
          <w:lang w:val="en-US"/>
        </w:rPr>
        <w:t>Adapun beberapa karya ibnu rusyd yang masih orisinil, sebagai berikut:</w:t>
      </w:r>
    </w:p>
    <w:p w14:paraId="58EC675A" w14:textId="77777777" w:rsidR="00CC206C" w:rsidRPr="00CC206C" w:rsidRDefault="00CC206C" w:rsidP="00CC206C">
      <w:pPr>
        <w:pStyle w:val="ListParagraph"/>
        <w:numPr>
          <w:ilvl w:val="0"/>
          <w:numId w:val="16"/>
        </w:numPr>
        <w:spacing w:line="360" w:lineRule="auto"/>
        <w:ind w:left="426"/>
        <w:jc w:val="both"/>
        <w:rPr>
          <w:rFonts w:ascii="Palatino Linotype" w:hAnsi="Palatino Linotype" w:cstheme="majorBidi"/>
          <w:sz w:val="24"/>
          <w:szCs w:val="24"/>
          <w:lang w:val="en-US"/>
        </w:rPr>
      </w:pPr>
      <w:r w:rsidRPr="00CC206C">
        <w:rPr>
          <w:rStyle w:val="fontstyle21"/>
          <w:rFonts w:ascii="Palatino Linotype" w:hAnsi="Palatino Linotype" w:cstheme="majorBidi"/>
        </w:rPr>
        <w:t>Bidayatul Mujtahid wa Nihayatul Muqtasid</w:t>
      </w:r>
      <w:r w:rsidRPr="00CC206C">
        <w:rPr>
          <w:rStyle w:val="fontstyle01"/>
          <w:rFonts w:ascii="Palatino Linotype" w:hAnsi="Palatino Linotype" w:cstheme="majorBidi"/>
        </w:rPr>
        <w:t xml:space="preserve">, berisi uraian </w:t>
      </w:r>
      <w:r w:rsidRPr="00CC206C">
        <w:rPr>
          <w:rStyle w:val="fontstyle21"/>
          <w:rFonts w:ascii="Palatino Linotype" w:hAnsi="Palatino Linotype" w:cstheme="majorBidi"/>
        </w:rPr>
        <w:t>fiqh muqoron</w:t>
      </w:r>
      <w:r w:rsidRPr="00CC206C">
        <w:rPr>
          <w:rFonts w:ascii="Palatino Linotype" w:hAnsi="Palatino Linotype" w:cstheme="majorBidi"/>
          <w:i/>
          <w:iCs/>
          <w:color w:val="000000"/>
          <w:sz w:val="24"/>
          <w:szCs w:val="24"/>
        </w:rPr>
        <w:br/>
      </w:r>
      <w:r w:rsidRPr="00CC206C">
        <w:rPr>
          <w:rStyle w:val="fontstyle01"/>
          <w:rFonts w:ascii="Palatino Linotype" w:hAnsi="Palatino Linotype" w:cstheme="majorBidi"/>
        </w:rPr>
        <w:t>(fikih perbandingan) Buku ini merupakan suatu studi perbandingan hukum Islam, di dalamnya diuraikan pendapat Ibn Rusyd dengan mengemukakan pendapat- pendapat imam-imam mazhab.</w:t>
      </w:r>
    </w:p>
    <w:p w14:paraId="0045BADF" w14:textId="77777777" w:rsidR="00CC206C" w:rsidRPr="00CC206C" w:rsidRDefault="00CC206C" w:rsidP="00CC206C">
      <w:pPr>
        <w:pStyle w:val="ListParagraph"/>
        <w:numPr>
          <w:ilvl w:val="0"/>
          <w:numId w:val="16"/>
        </w:numPr>
        <w:spacing w:line="360" w:lineRule="auto"/>
        <w:ind w:left="426"/>
        <w:jc w:val="both"/>
        <w:rPr>
          <w:rFonts w:ascii="Palatino Linotype" w:hAnsi="Palatino Linotype" w:cstheme="majorBidi"/>
          <w:sz w:val="24"/>
          <w:szCs w:val="24"/>
          <w:lang w:val="en-US"/>
        </w:rPr>
      </w:pPr>
      <w:r w:rsidRPr="00CC206C">
        <w:rPr>
          <w:rStyle w:val="fontstyle01"/>
          <w:rFonts w:ascii="Palatino Linotype" w:hAnsi="Palatino Linotype" w:cstheme="majorBidi"/>
        </w:rPr>
        <w:t xml:space="preserve"> </w:t>
      </w:r>
      <w:r w:rsidRPr="00CC206C">
        <w:rPr>
          <w:rStyle w:val="fontstyle21"/>
          <w:rFonts w:ascii="Palatino Linotype" w:hAnsi="Palatino Linotype" w:cstheme="majorBidi"/>
        </w:rPr>
        <w:t xml:space="preserve">Fashl al-Maqol fi Ma Baina al-Syariah wal Hikmah Min Ittishol, </w:t>
      </w:r>
      <w:r w:rsidRPr="00CC206C">
        <w:rPr>
          <w:rStyle w:val="fontstyle01"/>
          <w:rFonts w:ascii="Palatino Linotype" w:hAnsi="Palatino Linotype" w:cstheme="majorBidi"/>
        </w:rPr>
        <w:t>berisi</w:t>
      </w:r>
      <w:r w:rsidRPr="00CC206C">
        <w:rPr>
          <w:rFonts w:ascii="Palatino Linotype" w:hAnsi="Palatino Linotype" w:cstheme="majorBidi"/>
          <w:color w:val="000000"/>
          <w:sz w:val="24"/>
          <w:szCs w:val="24"/>
        </w:rPr>
        <w:br/>
      </w:r>
      <w:r w:rsidRPr="00CC206C">
        <w:rPr>
          <w:rStyle w:val="fontstyle01"/>
          <w:rFonts w:ascii="Palatino Linotype" w:hAnsi="Palatino Linotype" w:cstheme="majorBidi"/>
        </w:rPr>
        <w:t xml:space="preserve">korelasi antara agama dan filsafat </w:t>
      </w:r>
      <w:r w:rsidRPr="00CC206C">
        <w:rPr>
          <w:rFonts w:ascii="Palatino Linotype" w:hAnsi="Palatino Linotype" w:cstheme="majorBidi"/>
          <w:sz w:val="24"/>
          <w:szCs w:val="24"/>
          <w:lang w:val="en-US"/>
        </w:rPr>
        <w:t>yang isinya menguraikan adanya keselarasan antara agama dan akal karena keduanya adalah pemberian Tuhan.</w:t>
      </w:r>
    </w:p>
    <w:p w14:paraId="0E1EA1F4" w14:textId="77777777" w:rsidR="00CC206C" w:rsidRPr="00CC206C" w:rsidRDefault="00CC206C" w:rsidP="00CC206C">
      <w:pPr>
        <w:pStyle w:val="ListParagraph"/>
        <w:numPr>
          <w:ilvl w:val="0"/>
          <w:numId w:val="16"/>
        </w:numPr>
        <w:spacing w:line="360" w:lineRule="auto"/>
        <w:ind w:left="426"/>
        <w:jc w:val="both"/>
        <w:rPr>
          <w:rFonts w:ascii="Palatino Linotype" w:hAnsi="Palatino Linotype" w:cstheme="majorBidi"/>
          <w:sz w:val="24"/>
          <w:szCs w:val="24"/>
          <w:lang w:val="en-US"/>
        </w:rPr>
      </w:pPr>
      <w:r w:rsidRPr="00CC206C">
        <w:rPr>
          <w:rStyle w:val="fontstyle01"/>
          <w:rFonts w:ascii="Palatino Linotype" w:hAnsi="Palatino Linotype" w:cstheme="majorBidi"/>
        </w:rPr>
        <w:t xml:space="preserve"> </w:t>
      </w:r>
      <w:r w:rsidRPr="00CC206C">
        <w:rPr>
          <w:rStyle w:val="fontstyle21"/>
          <w:rFonts w:ascii="Palatino Linotype" w:hAnsi="Palatino Linotype" w:cstheme="majorBidi"/>
        </w:rPr>
        <w:t>Al-Kasf ‘An Manahij al-Adillat Fii ‘Aqoid al-Millat</w:t>
      </w:r>
      <w:r w:rsidRPr="00CC206C">
        <w:rPr>
          <w:rStyle w:val="fontstyle01"/>
          <w:rFonts w:ascii="Palatino Linotype" w:hAnsi="Palatino Linotype" w:cstheme="majorBidi"/>
        </w:rPr>
        <w:t>, berisi kritik atas metode</w:t>
      </w:r>
      <w:r w:rsidRPr="00CC206C">
        <w:rPr>
          <w:rFonts w:ascii="Palatino Linotype" w:hAnsi="Palatino Linotype" w:cstheme="majorBidi"/>
          <w:color w:val="000000"/>
          <w:sz w:val="24"/>
          <w:szCs w:val="24"/>
        </w:rPr>
        <w:br/>
      </w:r>
      <w:r w:rsidRPr="00CC206C">
        <w:rPr>
          <w:rStyle w:val="fontstyle01"/>
          <w:rFonts w:ascii="Palatino Linotype" w:hAnsi="Palatino Linotype" w:cstheme="majorBidi"/>
        </w:rPr>
        <w:t>para ahli kalam, sufi dan sebagaian filosof Muslim.</w:t>
      </w:r>
      <w:r w:rsidRPr="00CC206C">
        <w:rPr>
          <w:rFonts w:ascii="Palatino Linotype" w:hAnsi="Palatino Linotype" w:cstheme="majorBidi"/>
          <w:sz w:val="24"/>
          <w:szCs w:val="24"/>
        </w:rPr>
        <w:t xml:space="preserve"> </w:t>
      </w:r>
      <w:r w:rsidRPr="00CC206C">
        <w:rPr>
          <w:rStyle w:val="fontstyle01"/>
          <w:rFonts w:ascii="Palatino Linotype" w:hAnsi="Palatino Linotype" w:cstheme="majorBidi"/>
        </w:rPr>
        <w:t>(Menyingkap berbagai Metode Argumentasi Ideologi Agama-agama) yang menjelaskan secara terinci masalah-masalah akidah yang dibahas oleh para filsuf dan teologi Islam.</w:t>
      </w:r>
    </w:p>
    <w:p w14:paraId="7708FB7B" w14:textId="66A82EAA" w:rsidR="00CC206C" w:rsidRPr="00CC206C" w:rsidRDefault="00CC206C" w:rsidP="00CC206C">
      <w:pPr>
        <w:spacing w:after="240" w:line="360" w:lineRule="auto"/>
        <w:ind w:firstLine="720"/>
        <w:jc w:val="both"/>
        <w:rPr>
          <w:rFonts w:ascii="Palatino Linotype" w:hAnsi="Palatino Linotype"/>
          <w:sz w:val="24"/>
          <w:szCs w:val="24"/>
        </w:rPr>
      </w:pPr>
      <w:r w:rsidRPr="00CC206C">
        <w:rPr>
          <w:rStyle w:val="fontstyle21"/>
          <w:rFonts w:ascii="Palatino Linotype" w:hAnsi="Palatino Linotype" w:cstheme="majorBidi"/>
        </w:rPr>
        <w:lastRenderedPageBreak/>
        <w:t>Tahafut at-Tahafut</w:t>
      </w:r>
      <w:r w:rsidRPr="00CC206C">
        <w:rPr>
          <w:rStyle w:val="fontstyle01"/>
          <w:rFonts w:ascii="Palatino Linotype" w:hAnsi="Palatino Linotype" w:cstheme="majorBidi"/>
        </w:rPr>
        <w:t>, berisi bantahan dan kritikan terhadap karya al-Ghozali</w:t>
      </w:r>
      <w:r>
        <w:rPr>
          <w:rFonts w:ascii="Palatino Linotype" w:hAnsi="Palatino Linotype" w:cstheme="majorBidi"/>
          <w:color w:val="000000"/>
          <w:sz w:val="24"/>
          <w:szCs w:val="24"/>
        </w:rPr>
        <w:t xml:space="preserve"> </w:t>
      </w:r>
      <w:r w:rsidRPr="00CC206C">
        <w:rPr>
          <w:rStyle w:val="fontstyle01"/>
          <w:rFonts w:ascii="Palatino Linotype" w:hAnsi="Palatino Linotype" w:cstheme="majorBidi"/>
        </w:rPr>
        <w:t xml:space="preserve">yang berjudul </w:t>
      </w:r>
      <w:r w:rsidRPr="00CC206C">
        <w:rPr>
          <w:rStyle w:val="fontstyle21"/>
          <w:rFonts w:ascii="Palatino Linotype" w:hAnsi="Palatino Linotype" w:cstheme="majorBidi"/>
        </w:rPr>
        <w:t>Tahafut al-Falasifah</w:t>
      </w:r>
      <w:r w:rsidRPr="00CC206C">
        <w:rPr>
          <w:rStyle w:val="fontstyle01"/>
          <w:rFonts w:ascii="Palatino Linotype" w:hAnsi="Palatino Linotype" w:cstheme="majorBidi"/>
        </w:rPr>
        <w:t>. isinya membela kaum filsuf dari tuduhan kafir sebagaimana dilontarkan al-Ghazali dalam bukunya Tahafut al-Falasifah (Kerancuan Filsafat- filsafat kaum Filosof).</w:t>
      </w:r>
    </w:p>
    <w:p w14:paraId="638358B6" w14:textId="774979D1" w:rsidR="002F1309" w:rsidRPr="00FA3BAE" w:rsidRDefault="00DD403E" w:rsidP="00FA3BAE">
      <w:pPr>
        <w:spacing w:after="240" w:line="360" w:lineRule="auto"/>
        <w:ind w:firstLine="720"/>
        <w:jc w:val="both"/>
        <w:rPr>
          <w:rFonts w:ascii="Palatino Linotype" w:hAnsi="Palatino Linotype"/>
          <w:sz w:val="24"/>
          <w:szCs w:val="24"/>
        </w:rPr>
      </w:pPr>
      <w:r w:rsidRPr="00FA3BAE">
        <w:rPr>
          <w:rFonts w:ascii="Palatino Linotype" w:hAnsi="Palatino Linotype"/>
          <w:sz w:val="24"/>
          <w:szCs w:val="24"/>
        </w:rPr>
        <w:t>Ibnu Rusyd dengan bukunya Tahaffut al- Tahaffut,</w:t>
      </w:r>
      <w:r w:rsidR="000C2E43" w:rsidRPr="00FA3BAE">
        <w:rPr>
          <w:rFonts w:ascii="Palatino Linotype" w:hAnsi="Palatino Linotype"/>
          <w:sz w:val="24"/>
          <w:szCs w:val="24"/>
        </w:rPr>
        <w:t xml:space="preserve"> </w:t>
      </w:r>
      <w:r w:rsidRPr="00FA3BAE">
        <w:rPr>
          <w:rFonts w:ascii="Palatino Linotype" w:hAnsi="Palatino Linotype"/>
          <w:sz w:val="24"/>
          <w:szCs w:val="24"/>
        </w:rPr>
        <w:t xml:space="preserve">berupaya mengharmonisasikan antara filsafat dengan agama, dia mencoba meyakinkan umat Islam bahwa sesungguhnya antara filsafat dengan agama tidaklah terjadi pertentangan, karena masing-masing dalam aktualitasnya saling mengisi dan secara fungsional berada dalam satu ikatan yang sinergi yang bersifat kontributif. Sebagai refleksi keyakinan umat Islam terhadap kebenaran wahyu, telah diupayakan pemaduan ketiga konsep agama, ilmu dan filsafat melalui pelaksanaan pendidikan. Pendidikan membutuhkan pemikiran filosofis sebagai penentu arah dan tujuan dari proses </w:t>
      </w:r>
      <w:r w:rsidR="000C2E43" w:rsidRPr="00FA3BAE">
        <w:rPr>
          <w:rFonts w:ascii="Palatino Linotype" w:hAnsi="Palatino Linotype"/>
          <w:sz w:val="24"/>
          <w:szCs w:val="24"/>
        </w:rPr>
        <w:t>Pendidikan.</w:t>
      </w:r>
      <w:r w:rsidR="000C2E43" w:rsidRPr="00FA3BAE">
        <w:rPr>
          <w:rStyle w:val="FootnoteReference"/>
          <w:rFonts w:ascii="Palatino Linotype" w:hAnsi="Palatino Linotype"/>
          <w:sz w:val="24"/>
          <w:szCs w:val="24"/>
        </w:rPr>
        <w:footnoteReference w:id="4"/>
      </w:r>
    </w:p>
    <w:p w14:paraId="046CE378" w14:textId="37B1F13B" w:rsidR="004F623F" w:rsidRPr="00FA3BAE" w:rsidRDefault="004F623F" w:rsidP="00FA3BAE">
      <w:pPr>
        <w:spacing w:line="360" w:lineRule="auto"/>
        <w:ind w:firstLine="720"/>
        <w:jc w:val="both"/>
        <w:rPr>
          <w:rStyle w:val="fontstyle01"/>
          <w:rFonts w:ascii="Palatino Linotype" w:hAnsi="Palatino Linotype" w:cstheme="majorBidi"/>
          <w:color w:val="auto"/>
          <w:lang w:val="en-US"/>
        </w:rPr>
      </w:pPr>
      <w:r w:rsidRPr="00FA3BAE">
        <w:rPr>
          <w:rStyle w:val="fontstyle01"/>
          <w:rFonts w:ascii="Palatino Linotype" w:hAnsi="Palatino Linotype" w:cstheme="majorBidi"/>
          <w:color w:val="auto"/>
          <w:lang w:val="en-US"/>
        </w:rPr>
        <w:t xml:space="preserve">Ibnu Rusyd </w:t>
      </w:r>
      <w:r w:rsidR="00F05919">
        <w:rPr>
          <w:rStyle w:val="fontstyle01"/>
          <w:rFonts w:ascii="Palatino Linotype" w:hAnsi="Palatino Linotype" w:cstheme="majorBidi"/>
          <w:color w:val="auto"/>
          <w:lang w:val="en-US"/>
        </w:rPr>
        <w:t>juga sebagai</w:t>
      </w:r>
      <w:r w:rsidRPr="00FA3BAE">
        <w:rPr>
          <w:rStyle w:val="fontstyle01"/>
          <w:rFonts w:ascii="Palatino Linotype" w:hAnsi="Palatino Linotype" w:cstheme="majorBidi"/>
          <w:color w:val="auto"/>
          <w:lang w:val="en-US"/>
        </w:rPr>
        <w:t xml:space="preserve"> filosof muslim terbesar di Barat. Ia terkenal dalam kesungguhan dan ketulusannya mengharmoniskan antara filsafat dan agama. Nurcholish Madjid dalam bukunya “Khazanah Intelektual Islam” menyebutkan kesungguhan Ibnu Rusyd melebihi yang dilakukan oleh Al-Kindi, Al-Fārābā dan Ibnu Sīnā.</w:t>
      </w:r>
      <w:r w:rsidRPr="00FA3BAE">
        <w:rPr>
          <w:rStyle w:val="FootnoteReference"/>
          <w:rFonts w:ascii="Palatino Linotype" w:hAnsi="Palatino Linotype" w:cstheme="majorBidi"/>
          <w:sz w:val="24"/>
          <w:szCs w:val="24"/>
          <w:lang w:val="en-US"/>
        </w:rPr>
        <w:footnoteReference w:id="5"/>
      </w:r>
      <w:r w:rsidRPr="00FA3BAE">
        <w:rPr>
          <w:rStyle w:val="fontstyle01"/>
          <w:rFonts w:ascii="Palatino Linotype" w:hAnsi="Palatino Linotype" w:cstheme="majorBidi"/>
          <w:color w:val="auto"/>
          <w:lang w:val="en-US"/>
        </w:rPr>
        <w:t xml:space="preserve">Kehadiran Ibnu Rusyd dalam dinamika pemikiran filsafat Islam dipandang sebagai fase terakhir masa kegemilangan filsafat Islam pada abad pertengahan, dan sekaligus memberikan kegemilangan filsafat setelah mengalami guncangan dan kelemahan di masa al-Ghazali. </w:t>
      </w:r>
    </w:p>
    <w:p w14:paraId="24C05D62" w14:textId="55F072B1" w:rsidR="004F623F" w:rsidRDefault="004F623F" w:rsidP="00FA3BAE">
      <w:pPr>
        <w:spacing w:line="360" w:lineRule="auto"/>
        <w:ind w:firstLine="720"/>
        <w:jc w:val="both"/>
        <w:rPr>
          <w:rStyle w:val="fontstyle01"/>
          <w:rFonts w:ascii="Palatino Linotype" w:hAnsi="Palatino Linotype" w:cstheme="majorBidi"/>
          <w:color w:val="auto"/>
          <w:lang w:val="en-US"/>
        </w:rPr>
      </w:pPr>
      <w:r w:rsidRPr="00FA3BAE">
        <w:rPr>
          <w:rStyle w:val="fontstyle01"/>
          <w:rFonts w:ascii="Palatino Linotype" w:hAnsi="Palatino Linotype" w:cstheme="majorBidi"/>
          <w:color w:val="auto"/>
          <w:lang w:val="en-US"/>
        </w:rPr>
        <w:t xml:space="preserve">Ibnu Rusyd walupun dipandang sebagai seorang yang berfikir rasional sebagai pengagum dan penerus ajaran aristoteles, namun ia juga seorang </w:t>
      </w:r>
      <w:r w:rsidRPr="00FA3BAE">
        <w:rPr>
          <w:rStyle w:val="fontstyle01"/>
          <w:rFonts w:ascii="Palatino Linotype" w:hAnsi="Palatino Linotype" w:cstheme="majorBidi"/>
          <w:color w:val="auto"/>
          <w:lang w:val="en-US"/>
        </w:rPr>
        <w:lastRenderedPageBreak/>
        <w:t>yang sangat religius dan tetap berpegang teguh pada sumber sumber agama dalam memperteguhkan keyakinan. Dalam hal keyakinan ia sangat berpegang teguh pada teks teks wahyu sebagaimana kaum salaf. Sedangkan dalam bidang pemikiran dan filsafat tampak sangat gandrung terhadap pemikiran logika dielektika arestoteles yang dipandangnya sebagai campium atau pendekar para filosof yunani.</w:t>
      </w:r>
      <w:r w:rsidRPr="00FA3BAE">
        <w:rPr>
          <w:rStyle w:val="FootnoteReference"/>
          <w:rFonts w:ascii="Palatino Linotype" w:hAnsi="Palatino Linotype" w:cstheme="majorBidi"/>
          <w:sz w:val="24"/>
          <w:szCs w:val="24"/>
          <w:lang w:val="en-US"/>
        </w:rPr>
        <w:footnoteReference w:id="6"/>
      </w:r>
    </w:p>
    <w:p w14:paraId="7F0E5BBF" w14:textId="39B05238" w:rsidR="00F05919" w:rsidRDefault="00F05919" w:rsidP="00F05919">
      <w:pPr>
        <w:pStyle w:val="NormalWeb"/>
        <w:spacing w:after="0" w:line="360" w:lineRule="auto"/>
        <w:ind w:firstLine="720"/>
        <w:jc w:val="both"/>
        <w:rPr>
          <w:rFonts w:ascii="Palatino Linotype" w:hAnsi="Palatino Linotype"/>
          <w:color w:val="000000"/>
        </w:rPr>
      </w:pPr>
      <w:r w:rsidRPr="00F2723C">
        <w:rPr>
          <w:rFonts w:ascii="Palatino Linotype" w:hAnsi="Palatino Linotype"/>
          <w:color w:val="000000"/>
        </w:rPr>
        <w:t xml:space="preserve">Ibnu Taimiyah bernama lengkap Ahmad ibn Abdul Halim ibn Abdussalam ibn Taimiyah al-Harani. Ia lahir di Harran pada tanggal 10 Rabiul Awwal 661 H (ada yang mengatakan tanggal 12). Dan wafat di Damaskus pada malam senin, 20 </w:t>
      </w:r>
      <w:r>
        <w:rPr>
          <w:rFonts w:ascii="Palatino Linotype" w:hAnsi="Palatino Linotype"/>
          <w:color w:val="000000"/>
        </w:rPr>
        <w:t>Dzulqodah</w:t>
      </w:r>
      <w:r w:rsidRPr="00F2723C">
        <w:rPr>
          <w:rFonts w:ascii="Palatino Linotype" w:hAnsi="Palatino Linotype"/>
          <w:color w:val="000000"/>
        </w:rPr>
        <w:t>, 728 Hijriyah. Ayahnya bernama Syihab ad-Din Abd al-Halim Ibn Abd as-Salam (627-672) adalah seorang ulama besaryang mempunyai kedudukan tinggi di masjid agung Damaskus. Selain sebagai khatib dan imam besar di Masjid tersebut, ia juga sebagai guru dalam bidang tafsir dan hadits. Jabatan lain yang juga dipegang oleh Abd al-Halim ialah sebagi Direktur Madrasah Dar al- Hadits as-Sukkariyah, salah satu lembaga pendidikan Islam bermazhab Hambali yang sangat majudan bermutu waktu itu. Di lembaga pendidikan inilah Abd al-Halim yang dikenal orator itu mendidik Ibnu Taimiyah buat pertama kali.</w:t>
      </w:r>
      <w:r w:rsidRPr="00F2723C">
        <w:rPr>
          <w:rStyle w:val="FootnoteReference"/>
          <w:rFonts w:ascii="Palatino Linotype" w:hAnsi="Palatino Linotype"/>
          <w:color w:val="000000"/>
        </w:rPr>
        <w:footnoteReference w:id="7"/>
      </w:r>
    </w:p>
    <w:p w14:paraId="01F5C100" w14:textId="77777777" w:rsidR="00F05919" w:rsidRDefault="00F05919" w:rsidP="00F05919">
      <w:pPr>
        <w:pStyle w:val="NormalWeb"/>
        <w:spacing w:after="0" w:line="360" w:lineRule="auto"/>
        <w:ind w:firstLine="720"/>
        <w:jc w:val="both"/>
        <w:rPr>
          <w:rStyle w:val="fontstyle01"/>
          <w:rFonts w:ascii="Palatino Linotype" w:hAnsi="Palatino Linotype" w:cs="Times New Roman"/>
        </w:rPr>
      </w:pPr>
      <w:r w:rsidRPr="00F2723C">
        <w:rPr>
          <w:rFonts w:ascii="Palatino Linotype" w:hAnsi="Palatino Linotype"/>
          <w:color w:val="000000"/>
        </w:rPr>
        <w:t>Ibn Taimiyah memulai pendidikannya dengan mengaji kepada ayah dan pamannya. Ia juga belajar kepada beberapa ulama terkemuka terutama di Damaskus dan sekitarnya, salah satu di antaranya adalah Syam ad-Din Abd Rahman Ibn Muhammad Ibn Ahmad al- Maqdisi (597-682) seorang ahli hukum Islam (fakih) dan hakim agung pertama dari kalangan mazhab Hambali di Siria.</w:t>
      </w:r>
      <w:r w:rsidRPr="00F2723C">
        <w:rPr>
          <w:rStyle w:val="FootnoteReference"/>
          <w:rFonts w:ascii="Palatino Linotype" w:hAnsi="Palatino Linotype"/>
          <w:color w:val="000000"/>
        </w:rPr>
        <w:footnoteReference w:id="8"/>
      </w:r>
    </w:p>
    <w:p w14:paraId="09CBEB71" w14:textId="77777777" w:rsidR="00F05919" w:rsidRDefault="002F1309" w:rsidP="00F05919">
      <w:pPr>
        <w:pStyle w:val="NormalWeb"/>
        <w:spacing w:after="0" w:line="360" w:lineRule="auto"/>
        <w:jc w:val="both"/>
        <w:rPr>
          <w:rFonts w:ascii="Palatino Linotype" w:hAnsi="Palatino Linotype"/>
          <w:color w:val="000000"/>
        </w:rPr>
      </w:pPr>
      <w:r w:rsidRPr="00FA3BAE">
        <w:rPr>
          <w:rFonts w:ascii="Questrial" w:hAnsi="Questrial" w:cs="Questrial"/>
          <w:b/>
          <w:bCs/>
          <w:color w:val="000000"/>
        </w:rPr>
        <w:lastRenderedPageBreak/>
        <w:t>Discussion</w:t>
      </w:r>
    </w:p>
    <w:p w14:paraId="2A9331FE" w14:textId="6249F609" w:rsidR="00053669" w:rsidRPr="00F05919" w:rsidRDefault="00DD403E" w:rsidP="00F05919">
      <w:pPr>
        <w:pStyle w:val="NormalWeb"/>
        <w:spacing w:after="0" w:line="360" w:lineRule="auto"/>
        <w:jc w:val="both"/>
        <w:rPr>
          <w:rFonts w:ascii="Palatino Linotype" w:hAnsi="Palatino Linotype"/>
          <w:color w:val="000000"/>
        </w:rPr>
      </w:pPr>
      <w:r w:rsidRPr="00FA3BAE">
        <w:rPr>
          <w:rFonts w:ascii="Palatino Linotype" w:hAnsi="Palatino Linotype"/>
          <w:b/>
          <w:bCs/>
          <w:color w:val="000000"/>
        </w:rPr>
        <w:t xml:space="preserve">Konsep Agama </w:t>
      </w:r>
      <w:r w:rsidR="00A406B7">
        <w:rPr>
          <w:rFonts w:ascii="Palatino Linotype" w:hAnsi="Palatino Linotype"/>
          <w:b/>
          <w:bCs/>
          <w:color w:val="000000"/>
        </w:rPr>
        <w:t xml:space="preserve">dan akal </w:t>
      </w:r>
      <w:r w:rsidRPr="00FA3BAE">
        <w:rPr>
          <w:rFonts w:ascii="Palatino Linotype" w:hAnsi="Palatino Linotype"/>
          <w:b/>
          <w:bCs/>
          <w:color w:val="000000"/>
        </w:rPr>
        <w:t>menurut Ibn</w:t>
      </w:r>
      <w:r w:rsidR="00F05919">
        <w:rPr>
          <w:rFonts w:ascii="Palatino Linotype" w:hAnsi="Palatino Linotype"/>
          <w:b/>
          <w:bCs/>
          <w:color w:val="000000"/>
        </w:rPr>
        <w:t>u</w:t>
      </w:r>
      <w:r w:rsidRPr="00FA3BAE">
        <w:rPr>
          <w:rFonts w:ascii="Palatino Linotype" w:hAnsi="Palatino Linotype"/>
          <w:b/>
          <w:bCs/>
          <w:color w:val="000000"/>
        </w:rPr>
        <w:t xml:space="preserve"> Rusyd</w:t>
      </w:r>
      <w:r w:rsidR="00F05919">
        <w:rPr>
          <w:rFonts w:ascii="Palatino Linotype" w:hAnsi="Palatino Linotype"/>
          <w:b/>
          <w:bCs/>
          <w:color w:val="000000"/>
        </w:rPr>
        <w:t xml:space="preserve"> dan Ibnu Taimiyyah</w:t>
      </w:r>
    </w:p>
    <w:p w14:paraId="563ECFB0" w14:textId="7D1027C9" w:rsidR="00716AFE" w:rsidRPr="0077080A" w:rsidRDefault="00716AFE" w:rsidP="00716AFE">
      <w:pPr>
        <w:pStyle w:val="NormalWeb"/>
        <w:spacing w:before="0" w:beforeAutospacing="0" w:after="0" w:afterAutospacing="0" w:line="360" w:lineRule="auto"/>
        <w:ind w:firstLine="720"/>
        <w:jc w:val="both"/>
        <w:rPr>
          <w:rFonts w:ascii="Palatino Linotype" w:hAnsi="Palatino Linotype"/>
          <w:b/>
          <w:bCs/>
          <w:color w:val="000000"/>
        </w:rPr>
      </w:pPr>
      <w:r w:rsidRPr="0077080A">
        <w:rPr>
          <w:rFonts w:ascii="Palatino Linotype" w:hAnsi="Palatino Linotype"/>
        </w:rPr>
        <w:t>agama (syari'at) telah memperintahkan kita untuk mempelajari sesuatu yang ada dengan akal, sebagaimana disebutkan dalam al-Qur'an: " Maka berpikirlah wahai orang-orang yng berakal budi " Teks-teks agama baik Qur'an maupun Hadist, sebenarnya telah memberikan isyarat mengenai masalah ini, tidak hanya mengenai hubungan agama dan filsafat, tetapi juga masalah yang lebih mendalam, seperti masalah keesaan Tuhan, pengetahuan Tuhan, kebangkitan dan lain sebagainya.</w:t>
      </w:r>
      <w:r w:rsidRPr="0077080A">
        <w:rPr>
          <w:rStyle w:val="FootnoteReference"/>
          <w:rFonts w:ascii="Palatino Linotype" w:hAnsi="Palatino Linotype"/>
        </w:rPr>
        <w:footnoteReference w:id="9"/>
      </w:r>
    </w:p>
    <w:p w14:paraId="2D7DD698" w14:textId="77777777" w:rsidR="00053669" w:rsidRPr="0077080A" w:rsidRDefault="00053669" w:rsidP="00053669">
      <w:pPr>
        <w:spacing w:line="360" w:lineRule="auto"/>
        <w:ind w:firstLine="720"/>
        <w:jc w:val="both"/>
        <w:rPr>
          <w:rStyle w:val="fontstyle01"/>
          <w:rFonts w:ascii="Palatino Linotype" w:hAnsi="Palatino Linotype" w:cstheme="majorBidi"/>
          <w:color w:val="auto"/>
          <w:lang w:val="en-US"/>
        </w:rPr>
      </w:pPr>
      <w:r w:rsidRPr="0077080A">
        <w:rPr>
          <w:rStyle w:val="fontstyle01"/>
          <w:rFonts w:ascii="Palatino Linotype" w:hAnsi="Palatino Linotype" w:cstheme="majorBidi"/>
          <w:color w:val="auto"/>
          <w:lang w:val="en-US"/>
        </w:rPr>
        <w:t>Menurut Ibn Rusyd filsafat (akal) tidak bertentangan dengan syariat (agama), bahkan orang Islam diwajibkan atau sekurang-kurangnya dianjurkan untuk mempelajari filsafat. Kedua ilmu ini mengajarkan kebenaran yang tidak mungkin terjadi pertentangan antara keduanya. Syari’at menganjurkan penggunaan akal dalam mempelajari segala isi alam, sebagaimana firmanNYA: “Maka berfikirlah wahai orang-orang yang berakal” (Q.S. al-Hasyr: 2). “apakah mereka tidak memperhatikan segala kerajaan langit dan bumi dan segala sesuatu yang telah dicipakan Allah?” (QS. Al A’raf: 185). Maka jelaslah bahwa tujuan mempelajari filsafat menghantarkan kita mampu merenungkan dan mengenali adanya penciptaan, sebab orang yang tidak mengerti tentang penciptaan tidak akan mengerti ciptaan dan membuatnya tidak mengerti sang pencipta.</w:t>
      </w:r>
      <w:r w:rsidRPr="0077080A">
        <w:rPr>
          <w:rStyle w:val="FootnoteReference"/>
          <w:rFonts w:ascii="Palatino Linotype" w:hAnsi="Palatino Linotype" w:cstheme="majorBidi"/>
          <w:sz w:val="24"/>
          <w:szCs w:val="24"/>
          <w:lang w:val="en-US"/>
        </w:rPr>
        <w:footnoteReference w:id="10"/>
      </w:r>
    </w:p>
    <w:p w14:paraId="1AE887F7" w14:textId="65B4CB32" w:rsidR="004F6011" w:rsidRDefault="00053669" w:rsidP="004F6011">
      <w:pPr>
        <w:spacing w:line="360" w:lineRule="auto"/>
        <w:ind w:firstLine="720"/>
        <w:jc w:val="both"/>
        <w:rPr>
          <w:rFonts w:ascii="Palatino Linotype" w:hAnsi="Palatino Linotype" w:cstheme="majorBidi"/>
          <w:sz w:val="24"/>
          <w:szCs w:val="24"/>
          <w:lang w:val="en-US"/>
        </w:rPr>
      </w:pPr>
      <w:r w:rsidRPr="0077080A">
        <w:rPr>
          <w:rFonts w:ascii="Palatino Linotype" w:hAnsi="Palatino Linotype" w:cstheme="majorBidi"/>
          <w:sz w:val="24"/>
          <w:szCs w:val="24"/>
          <w:lang w:val="en-US"/>
        </w:rPr>
        <w:t xml:space="preserve">Nilai progresifitas pemikirian Ibnu Rusyd terlihat dari upayanya menyelesaikan problem antara agama dan filsafat yang ia selesaikan melalui mekanisme pentakwilan terhadap wahyu Tuhan. Ibn Rusyd memberi penjelasan bahwa kesibukan dengan filsafat tidaklah membuat aqidah dan </w:t>
      </w:r>
      <w:r w:rsidRPr="0077080A">
        <w:rPr>
          <w:rFonts w:ascii="Palatino Linotype" w:hAnsi="Palatino Linotype" w:cstheme="majorBidi"/>
          <w:sz w:val="24"/>
          <w:szCs w:val="24"/>
          <w:lang w:val="en-US"/>
        </w:rPr>
        <w:lastRenderedPageBreak/>
        <w:t>agama menjadi rusak. Sebab filsafat tidaklah bertentangan dengan agama, sedang agama tidak mengingkari filsafat, bahkan menganjurkan justru dan menyerukannya, karena agama memerintahkan untuk meneliti dan merenungkan alam raya (al falaq, kosmos), jiwa-jiwa, wujud- wujud (eksistensi). Secara umum berfilsafat itu tak lain adalah meneliti wujud-wujud dari sisi penunjukannya atas adanya Pencipta.</w:t>
      </w:r>
      <w:r w:rsidRPr="0077080A">
        <w:rPr>
          <w:rStyle w:val="FootnoteReference"/>
          <w:rFonts w:ascii="Palatino Linotype" w:hAnsi="Palatino Linotype" w:cstheme="majorBidi"/>
          <w:sz w:val="24"/>
          <w:szCs w:val="24"/>
          <w:lang w:val="en-US"/>
        </w:rPr>
        <w:footnoteReference w:id="11"/>
      </w:r>
    </w:p>
    <w:p w14:paraId="350C5CBE" w14:textId="77777777" w:rsidR="00901638" w:rsidRPr="00F2723C" w:rsidRDefault="00901638" w:rsidP="00901638">
      <w:pPr>
        <w:spacing w:line="360" w:lineRule="auto"/>
        <w:ind w:firstLine="720"/>
        <w:jc w:val="both"/>
        <w:rPr>
          <w:rStyle w:val="fontstyle01"/>
          <w:rFonts w:ascii="Palatino Linotype" w:hAnsi="Palatino Linotype" w:cstheme="majorBidi"/>
          <w:lang w:val="en-US"/>
        </w:rPr>
      </w:pPr>
      <w:r w:rsidRPr="00F2723C">
        <w:rPr>
          <w:rStyle w:val="fontstyle01"/>
          <w:rFonts w:ascii="Palatino Linotype" w:hAnsi="Palatino Linotype" w:cstheme="majorBidi"/>
          <w:lang w:val="en-US"/>
        </w:rPr>
        <w:t>dalam pemikiran Ibnu Taymiyyah, relasi antara agama dan sains sangat dekat. Kadang, agama merupakan fenomena sosial yang bisa didekati dengan pendekatan saintifik, dan kadang pula, agama merupakan sudut pandang yang sakral karena datang dari Tuhan. Pemikian Ibnu Taymiyyah adalah rumusan unik, bukan saja mampu memahami doktrin agama dari sudut pandang saintifik, melainkan juga mampu menjadikan yang saintifik sebagai sesuatu yang sakral lantaran dibingkai dalam sudut pandang agama.</w:t>
      </w:r>
      <w:r w:rsidRPr="00F2723C">
        <w:rPr>
          <w:rStyle w:val="FootnoteReference"/>
          <w:rFonts w:ascii="Palatino Linotype" w:hAnsi="Palatino Linotype" w:cstheme="majorBidi"/>
          <w:sz w:val="24"/>
          <w:szCs w:val="24"/>
          <w:lang w:val="en-US"/>
        </w:rPr>
        <w:footnoteReference w:id="12"/>
      </w:r>
    </w:p>
    <w:p w14:paraId="23E306F8" w14:textId="15BEDB65" w:rsidR="004F6011" w:rsidRPr="00901638" w:rsidRDefault="00901638" w:rsidP="00901638">
      <w:pPr>
        <w:spacing w:line="360" w:lineRule="auto"/>
        <w:ind w:firstLine="720"/>
        <w:jc w:val="both"/>
        <w:rPr>
          <w:rFonts w:ascii="Palatino Linotype" w:hAnsi="Palatino Linotype" w:cstheme="majorBidi"/>
          <w:color w:val="000000"/>
          <w:sz w:val="24"/>
          <w:szCs w:val="24"/>
        </w:rPr>
      </w:pPr>
      <w:r w:rsidRPr="00F2723C">
        <w:rPr>
          <w:rFonts w:ascii="Palatino Linotype" w:hAnsi="Palatino Linotype"/>
          <w:sz w:val="24"/>
          <w:szCs w:val="24"/>
        </w:rPr>
        <w:t xml:space="preserve">Dalam menyikapi persoalan wahyu dan akal, Ibnu Rusyd menggunakan prinsip relasi (ittisal). Namun prinsip kesesuaian Ibnu Taimiyah, artinya wahyu dan akal tidak bertentangan, tercermin dalam dalilnya yang menggunakan ungkapan muwafaqat. Walaupun pengertian istilah ini menurut Ibnu Rusyd hampir sama dengan asas hubungan (ittisal), namun asas yang digunakan berbeda, apalagi sama-sama menafsirkan akal ('aql) dan menjelaskan wahyu (al-naql). Pada hakikatnya, kedua filosof tersebut meyakini bahwa wahyu dan akal tidak saling bertentangan. Ibnu Rusyd tidak hanya terpengaruh oleh pemikiran orang-orang yang meyakini ilmu pengetahuan dan filsafat tidak sejalan dengan agama, sedangkan Ibnu </w:t>
      </w:r>
      <w:r w:rsidRPr="00F2723C">
        <w:rPr>
          <w:rFonts w:ascii="Palatino Linotype" w:hAnsi="Palatino Linotype"/>
          <w:sz w:val="24"/>
          <w:szCs w:val="24"/>
        </w:rPr>
        <w:lastRenderedPageBreak/>
        <w:t>Taimiyah fokus pada pemahaman masyarakat terhadap agama Islam yang menurutnya terkontaminasi ajaran tasawuf, teologi dan filsafat.</w:t>
      </w:r>
      <w:r w:rsidRPr="00F2723C">
        <w:rPr>
          <w:rStyle w:val="FootnoteReference"/>
          <w:rFonts w:ascii="Palatino Linotype" w:hAnsi="Palatino Linotype"/>
          <w:sz w:val="24"/>
          <w:szCs w:val="24"/>
        </w:rPr>
        <w:footnoteReference w:id="13"/>
      </w:r>
    </w:p>
    <w:p w14:paraId="253F67F5" w14:textId="5EC290A0" w:rsidR="004F6011" w:rsidRDefault="00DD403E" w:rsidP="004F6011">
      <w:pPr>
        <w:pStyle w:val="NormalWeb"/>
        <w:spacing w:before="0" w:beforeAutospacing="0" w:after="0" w:afterAutospacing="0" w:line="360" w:lineRule="auto"/>
        <w:jc w:val="both"/>
        <w:rPr>
          <w:rFonts w:ascii="Palatino Linotype" w:hAnsi="Palatino Linotype"/>
          <w:b/>
          <w:bCs/>
          <w:color w:val="000000"/>
        </w:rPr>
      </w:pPr>
      <w:r w:rsidRPr="00FA3BAE">
        <w:rPr>
          <w:rFonts w:ascii="Palatino Linotype" w:hAnsi="Palatino Linotype"/>
          <w:b/>
          <w:bCs/>
          <w:color w:val="000000"/>
        </w:rPr>
        <w:t xml:space="preserve">Keadaan dan kedudukan akal wahyu menurut </w:t>
      </w:r>
      <w:r w:rsidR="00901638">
        <w:rPr>
          <w:rFonts w:ascii="Palatino Linotype" w:hAnsi="Palatino Linotype"/>
          <w:b/>
          <w:bCs/>
          <w:color w:val="000000"/>
        </w:rPr>
        <w:t>I</w:t>
      </w:r>
      <w:r w:rsidRPr="00FA3BAE">
        <w:rPr>
          <w:rFonts w:ascii="Palatino Linotype" w:hAnsi="Palatino Linotype"/>
          <w:b/>
          <w:bCs/>
          <w:color w:val="000000"/>
        </w:rPr>
        <w:t>bn</w:t>
      </w:r>
      <w:r w:rsidR="00901638">
        <w:rPr>
          <w:rFonts w:ascii="Palatino Linotype" w:hAnsi="Palatino Linotype"/>
          <w:b/>
          <w:bCs/>
          <w:color w:val="000000"/>
        </w:rPr>
        <w:t>u</w:t>
      </w:r>
      <w:r w:rsidRPr="00FA3BAE">
        <w:rPr>
          <w:rFonts w:ascii="Palatino Linotype" w:hAnsi="Palatino Linotype"/>
          <w:b/>
          <w:bCs/>
          <w:color w:val="000000"/>
        </w:rPr>
        <w:t xml:space="preserve"> </w:t>
      </w:r>
      <w:r w:rsidR="00901638">
        <w:rPr>
          <w:rFonts w:ascii="Palatino Linotype" w:hAnsi="Palatino Linotype"/>
          <w:b/>
          <w:bCs/>
          <w:color w:val="000000"/>
        </w:rPr>
        <w:t>R</w:t>
      </w:r>
      <w:r w:rsidRPr="00FA3BAE">
        <w:rPr>
          <w:rFonts w:ascii="Palatino Linotype" w:hAnsi="Palatino Linotype"/>
          <w:b/>
          <w:bCs/>
          <w:color w:val="000000"/>
        </w:rPr>
        <w:t xml:space="preserve">usyd </w:t>
      </w:r>
      <w:r w:rsidR="00901638">
        <w:rPr>
          <w:rFonts w:ascii="Palatino Linotype" w:hAnsi="Palatino Linotype"/>
          <w:b/>
          <w:bCs/>
          <w:color w:val="000000"/>
        </w:rPr>
        <w:t>dan Ibnu Taimiyyah</w:t>
      </w:r>
    </w:p>
    <w:p w14:paraId="79741CDA" w14:textId="6144D97E" w:rsidR="00506A31" w:rsidRPr="00141233" w:rsidRDefault="00141233" w:rsidP="00714B91">
      <w:pPr>
        <w:pStyle w:val="NormalWeb"/>
        <w:spacing w:before="0" w:beforeAutospacing="0" w:after="0" w:afterAutospacing="0" w:line="360" w:lineRule="auto"/>
        <w:ind w:firstLine="720"/>
        <w:jc w:val="both"/>
        <w:rPr>
          <w:rFonts w:ascii="Palatino Linotype" w:hAnsi="Palatino Linotype"/>
          <w:b/>
          <w:bCs/>
          <w:color w:val="000000"/>
        </w:rPr>
      </w:pPr>
      <w:r w:rsidRPr="002B792C">
        <w:rPr>
          <w:rFonts w:asciiTheme="majorBidi" w:hAnsiTheme="majorBidi" w:cstheme="majorBidi"/>
          <w:lang w:val="en-US"/>
        </w:rPr>
        <w:t>Ibn Rusyd merupakan seorang filosof Islam yang mementingkan akal dari pada perasaan.</w:t>
      </w:r>
      <w:r>
        <w:rPr>
          <w:rStyle w:val="FootnoteReference"/>
          <w:rFonts w:asciiTheme="majorBidi" w:hAnsiTheme="majorBidi" w:cstheme="majorBidi"/>
          <w:lang w:val="en-US"/>
        </w:rPr>
        <w:footnoteReference w:id="14"/>
      </w:r>
      <w:r w:rsidR="00761EA6" w:rsidRPr="004F6011">
        <w:rPr>
          <w:rFonts w:ascii="Palatino Linotype" w:hAnsi="Palatino Linotype"/>
        </w:rPr>
        <w:t>Menurutnya semua persoalan agama harus dipecahkan dengan kekuatan akal. Dalam hal ini termasuk ayat-ayat yang erat kaitanya dengan akal. Akan tetapi, disamping mememntingkan logika sendiri dalam memecahkan masalah yang gaib dan aneh yang berhubungan dengan agama. Mengenai tujuan agama sendiri Ibn Rusyd mengatakan bahwa pokok tujuan syariat Islam yang sebenarnya ialah pengetahuan yang benar dan amal perbuatan yang benar (al-Ilmuhaq wal-Amalulhaq). Dalam konteks ini, Pendidikan harus berupaya mengarahkan manusia agar memiliki ketrampilan untuk dapat mempergunakan alat yang dapat membawa kepada kebaikan, yaitu akal, dan menjauhkannya dari mempergunakan alat yang dapat membawa kepada keburukan yaitu hawa nafsu.</w:t>
      </w:r>
      <w:r w:rsidR="00506A31" w:rsidRPr="004F6011">
        <w:rPr>
          <w:rStyle w:val="FootnoteReference"/>
          <w:rFonts w:ascii="Palatino Linotype" w:hAnsi="Palatino Linotype"/>
        </w:rPr>
        <w:footnoteReference w:id="15"/>
      </w:r>
    </w:p>
    <w:p w14:paraId="58A563FA" w14:textId="6232DD8D" w:rsidR="00761EA6" w:rsidRPr="007A1008" w:rsidRDefault="00761EA6" w:rsidP="007A1008">
      <w:pPr>
        <w:pStyle w:val="NormalWeb"/>
        <w:spacing w:line="360" w:lineRule="auto"/>
        <w:ind w:firstLine="720"/>
        <w:jc w:val="both"/>
        <w:rPr>
          <w:rFonts w:ascii="Palatino Linotype" w:hAnsi="Palatino Linotype"/>
        </w:rPr>
      </w:pPr>
      <w:r w:rsidRPr="007A1008">
        <w:rPr>
          <w:rFonts w:ascii="Palatino Linotype" w:hAnsi="Palatino Linotype"/>
        </w:rPr>
        <w:t xml:space="preserve">Di dalam al-Qur'an terdapat banyak ayat yang telah menganjurkan dan mendorong umat manusia agar mempergunakan akal pikirannya untuk menemukan rahasia-rahasia Allah yang ada di alam fana ini. Dengan menggunakan akal pikiran diharapkan ilmu pengetahuan yang sebelumnya tidak diketahui dan masih tersembunyi akan dapat terkuak, yang pada akhirnya dapat dikembangkan guna kepentingan masyarakat luas. Dengan potensi akal pikiran manusia, Allah menyuruh manusia untuk berfikir dan </w:t>
      </w:r>
      <w:r w:rsidRPr="007A1008">
        <w:rPr>
          <w:rFonts w:ascii="Palatino Linotype" w:hAnsi="Palatino Linotype"/>
        </w:rPr>
        <w:lastRenderedPageBreak/>
        <w:t>mengelola alam semesta serta memanfaatkan sebesar-besarnya bagi kemaslahatan dan kesejahteraan hidup manusia.</w:t>
      </w:r>
      <w:r w:rsidR="007A1008">
        <w:rPr>
          <w:rStyle w:val="FootnoteReference"/>
          <w:rFonts w:ascii="Palatino Linotype" w:hAnsi="Palatino Linotype"/>
        </w:rPr>
        <w:footnoteReference w:id="16"/>
      </w:r>
    </w:p>
    <w:p w14:paraId="69333CEA" w14:textId="77777777" w:rsidR="00901638" w:rsidRPr="00F2723C" w:rsidRDefault="00901638" w:rsidP="00901638">
      <w:pPr>
        <w:pStyle w:val="NormalWeb"/>
        <w:spacing w:before="0" w:beforeAutospacing="0" w:after="0" w:afterAutospacing="0" w:line="360" w:lineRule="auto"/>
        <w:ind w:firstLine="720"/>
        <w:jc w:val="both"/>
        <w:rPr>
          <w:rFonts w:ascii="Palatino Linotype" w:hAnsi="Palatino Linotype"/>
          <w:color w:val="000000"/>
        </w:rPr>
      </w:pPr>
      <w:r w:rsidRPr="00F2723C">
        <w:rPr>
          <w:rFonts w:ascii="Palatino Linotype" w:hAnsi="Palatino Linotype"/>
          <w:color w:val="000000"/>
        </w:rPr>
        <w:t xml:space="preserve">Diskusi mengenai tauhid sudah menjadi kontroversi dan perdebatan oleh Ulama terdahulu. Hal itu dikarenakan sebagian dari mereka mengungkapkan Keesaan Tuhan menggunakan logika. Namun, Ibnu Taimiyah berusaha melakukan pembaharuan dengan merasionalkan tauhid yang bertumpu kepada Al-Quran dan Al-Sunnah. Dan dengan tegas mengkritik argumen yang tidak sesuai dengan nilai Islam. Namun, Pembaharuan pemikiran Ibnu Taimiyah tidak langsung diterima beberapa Ulama. </w:t>
      </w:r>
      <w:proofErr w:type="gramStart"/>
      <w:r w:rsidRPr="00F2723C">
        <w:rPr>
          <w:rFonts w:ascii="Palatino Linotype" w:hAnsi="Palatino Linotype"/>
          <w:color w:val="000000"/>
        </w:rPr>
        <w:t>Syekh Taqiyuddin As-Subki misalnya menilai wacana pembaharuan Ibnu Taimiyah kaku dan keluar dari al-ittiba’ dan beralih menuju al-ibtida’.</w:t>
      </w:r>
      <w:proofErr w:type="gramEnd"/>
      <w:r w:rsidRPr="00F2723C">
        <w:rPr>
          <w:rFonts w:ascii="Palatino Linotype" w:hAnsi="Palatino Linotype"/>
          <w:color w:val="000000"/>
        </w:rPr>
        <w:t xml:space="preserve"> Sehingga wacana pembaharuan ini merupakan suatu keanehan yang dilakukan oleh Ibnu Taimiyah. Namun, walaupun dinilai aneh, Pemikiran Ibnu Taimiyah dinilai lebih cenderung eksklusif. Sehingga kajian agama menjadikan Islam mudah dipahami oleh Muslim Modern. Termasuk konsep tauhidnya dengan mengklasifikasikan kepada tiga bagian.</w:t>
      </w:r>
      <w:r w:rsidRPr="00F2723C">
        <w:rPr>
          <w:rStyle w:val="FootnoteReference"/>
          <w:rFonts w:ascii="Palatino Linotype" w:hAnsi="Palatino Linotype"/>
          <w:color w:val="000000"/>
        </w:rPr>
        <w:footnoteReference w:id="17"/>
      </w:r>
    </w:p>
    <w:p w14:paraId="103C44F7" w14:textId="3C0DF67A" w:rsidR="00761EA6" w:rsidRPr="00901638" w:rsidRDefault="00901638" w:rsidP="00901638">
      <w:pPr>
        <w:pStyle w:val="NormalWeb"/>
        <w:spacing w:after="0" w:line="360" w:lineRule="auto"/>
        <w:ind w:firstLine="720"/>
        <w:jc w:val="both"/>
        <w:rPr>
          <w:rFonts w:ascii="Palatino Linotype" w:hAnsi="Palatino Linotype"/>
          <w:color w:val="000000"/>
        </w:rPr>
      </w:pPr>
      <w:r w:rsidRPr="00F2723C">
        <w:rPr>
          <w:rFonts w:ascii="Palatino Linotype" w:hAnsi="Palatino Linotype"/>
          <w:color w:val="000000"/>
        </w:rPr>
        <w:t xml:space="preserve">Ibnu Taimiyah membuktikan ke-Esaan Allah SWT dengan tiga konsep ke-Esaan. Yaitu Tauhid Rububiyah (perbuatan), Tauhid Uluhiyyah (Ibadah) dan Tauhid Asma’ Wa- asshifat (nama dan sifat Allah SWT yang sempurna). Tiga konsep tauhid ini saling memiliki keterkaitan satu sama lain. Ketiganya memiliki hubungan yang sangat erat dalam menyatakan ke-Esaan Tuhan dalam hati manusia. Tauhid Rububiyah bersifat implisit, dimana jika seorang hamba telah mengakui ke-Esaan Allah SWT, maka ia akan dengan ikhlas </w:t>
      </w:r>
      <w:r w:rsidRPr="00F2723C">
        <w:rPr>
          <w:rFonts w:ascii="Palatino Linotype" w:hAnsi="Palatino Linotype"/>
          <w:color w:val="000000"/>
        </w:rPr>
        <w:lastRenderedPageBreak/>
        <w:t>melakukan ibadah kepada Allah SWT (tauhid Uluhiyyah) dan mengakui kebesaran Asma dan Sifat-Nya.</w:t>
      </w:r>
      <w:r w:rsidRPr="00F2723C">
        <w:rPr>
          <w:rStyle w:val="FootnoteReference"/>
          <w:rFonts w:ascii="Palatino Linotype" w:hAnsi="Palatino Linotype"/>
          <w:color w:val="000000"/>
        </w:rPr>
        <w:footnoteReference w:id="18"/>
      </w:r>
    </w:p>
    <w:p w14:paraId="05AC9533" w14:textId="3F2F278D" w:rsidR="00DD403E" w:rsidRDefault="00DD403E" w:rsidP="00FA3BAE">
      <w:pPr>
        <w:pStyle w:val="NormalWeb"/>
        <w:spacing w:before="0" w:beforeAutospacing="0" w:after="0" w:afterAutospacing="0" w:line="360" w:lineRule="auto"/>
        <w:jc w:val="both"/>
        <w:rPr>
          <w:rFonts w:ascii="Palatino Linotype" w:hAnsi="Palatino Linotype"/>
          <w:b/>
          <w:bCs/>
          <w:color w:val="000000"/>
        </w:rPr>
      </w:pPr>
      <w:bookmarkStart w:id="1" w:name="_Hlk153434478"/>
      <w:r w:rsidRPr="00FA3BAE">
        <w:rPr>
          <w:rFonts w:ascii="Palatino Linotype" w:hAnsi="Palatino Linotype"/>
          <w:b/>
          <w:bCs/>
          <w:color w:val="000000"/>
        </w:rPr>
        <w:t xml:space="preserve">Hubungan agama dan akal dalam konteks filsafat Pendidikan </w:t>
      </w:r>
      <w:r w:rsidR="00901638">
        <w:rPr>
          <w:rFonts w:ascii="Palatino Linotype" w:hAnsi="Palatino Linotype"/>
          <w:b/>
          <w:bCs/>
          <w:color w:val="000000"/>
        </w:rPr>
        <w:t>I</w:t>
      </w:r>
      <w:r w:rsidRPr="00FA3BAE">
        <w:rPr>
          <w:rFonts w:ascii="Palatino Linotype" w:hAnsi="Palatino Linotype"/>
          <w:b/>
          <w:bCs/>
          <w:color w:val="000000"/>
        </w:rPr>
        <w:t xml:space="preserve">bnu </w:t>
      </w:r>
      <w:r w:rsidR="00901638">
        <w:rPr>
          <w:rFonts w:ascii="Palatino Linotype" w:hAnsi="Palatino Linotype"/>
          <w:b/>
          <w:bCs/>
          <w:color w:val="000000"/>
        </w:rPr>
        <w:t>R</w:t>
      </w:r>
      <w:r w:rsidRPr="00FA3BAE">
        <w:rPr>
          <w:rFonts w:ascii="Palatino Linotype" w:hAnsi="Palatino Linotype"/>
          <w:b/>
          <w:bCs/>
          <w:color w:val="000000"/>
        </w:rPr>
        <w:t>usyd</w:t>
      </w:r>
      <w:r w:rsidR="00901638">
        <w:rPr>
          <w:rFonts w:ascii="Palatino Linotype" w:hAnsi="Palatino Linotype"/>
          <w:b/>
          <w:bCs/>
          <w:color w:val="000000"/>
        </w:rPr>
        <w:t xml:space="preserve"> dan Ibnu Taimiyyah</w:t>
      </w:r>
    </w:p>
    <w:bookmarkEnd w:id="1"/>
    <w:p w14:paraId="1D394B9E" w14:textId="1D294B6B" w:rsidR="00F66E24" w:rsidRDefault="00F66E24" w:rsidP="00F66E24">
      <w:pPr>
        <w:pStyle w:val="NormalWeb"/>
        <w:spacing w:after="0" w:line="360" w:lineRule="auto"/>
        <w:ind w:firstLine="720"/>
        <w:jc w:val="both"/>
        <w:rPr>
          <w:rFonts w:ascii="Palatino Linotype" w:hAnsi="Palatino Linotype"/>
        </w:rPr>
      </w:pPr>
      <w:r w:rsidRPr="00F66E24">
        <w:rPr>
          <w:rFonts w:ascii="Palatino Linotype" w:hAnsi="Palatino Linotype"/>
        </w:rPr>
        <w:t>Problematika utama yang dihadapi oleh para filsuf Muslim klasik adalah mengenai relevansi antara wahyu dan akal atau agama dan filsafat. Dari kedua hal tersebut bahkan memunculkan pertentangan, pengkafiran, dan pertikaian antara kaum filosof dan fuqahaa. Berdirinya Ibnu Rusyd adalah sebagai penjembatan penghubung antara keduanya. Menurut Ibnu Rusyd materi ajaran syariah ialah ajaran yang dapat menyampaikan dua hal yaitu tentang ilmu yang benar (al-ilm al-haq) dan perbuatan yang benar (al-aml al-haq). Namun, isi syariah sebenarnya tidak hanya dapat ditentukan dari wahyu melainkan juga intelek. Meskipun, ia meyakini bahwa tingkatan syariah masih di bawah wahyu, sedangkan tingkat yang tertinggi adalah syari’ah yang diperoleh dari wahyu yang disertai intelek</w:t>
      </w:r>
      <w:r>
        <w:rPr>
          <w:rFonts w:ascii="Palatino Linotype" w:hAnsi="Palatino Linotype"/>
        </w:rPr>
        <w:t>.</w:t>
      </w:r>
      <w:r>
        <w:rPr>
          <w:rStyle w:val="FootnoteReference"/>
          <w:rFonts w:ascii="Palatino Linotype" w:hAnsi="Palatino Linotype"/>
        </w:rPr>
        <w:footnoteReference w:id="19"/>
      </w:r>
    </w:p>
    <w:p w14:paraId="3372FD15" w14:textId="6FA062A5" w:rsidR="00053669" w:rsidRPr="007A1008" w:rsidRDefault="00053669" w:rsidP="00053669">
      <w:pPr>
        <w:spacing w:line="360" w:lineRule="auto"/>
        <w:ind w:firstLine="360"/>
        <w:jc w:val="both"/>
        <w:rPr>
          <w:rFonts w:ascii="Palatino Linotype" w:hAnsi="Palatino Linotype" w:cstheme="majorBidi"/>
          <w:sz w:val="24"/>
          <w:szCs w:val="24"/>
          <w:lang w:val="en-US"/>
        </w:rPr>
      </w:pPr>
      <w:r w:rsidRPr="007A1008">
        <w:rPr>
          <w:rFonts w:ascii="Palatino Linotype" w:hAnsi="Palatino Linotype" w:cstheme="majorBidi"/>
          <w:sz w:val="24"/>
          <w:szCs w:val="24"/>
          <w:lang w:val="en-US"/>
        </w:rPr>
        <w:t>Ibn Rusyd bukanlah filosof pertama yang mendalami masalah “pendamaian” antara filsafat dan agama. Sebelumnya, al-Kindī juga telah berusaha mencari titik temu persesuaian antara filsafat dan agama dalam rangka membela pengkajian filsafat Yunani, untuk menghadapi pendapat ulama kalam konservatif yang menentang rasionalitas dan menganggap filsafat adalah bid’ah.</w:t>
      </w:r>
      <w:r w:rsidRPr="007A1008">
        <w:rPr>
          <w:rStyle w:val="FootnoteReference"/>
          <w:rFonts w:ascii="Palatino Linotype" w:hAnsi="Palatino Linotype" w:cstheme="majorBidi"/>
          <w:sz w:val="24"/>
          <w:szCs w:val="24"/>
          <w:lang w:val="en-US"/>
        </w:rPr>
        <w:footnoteReference w:id="20"/>
      </w:r>
    </w:p>
    <w:p w14:paraId="3B54015D" w14:textId="694E7796" w:rsidR="00053669" w:rsidRPr="007A1008" w:rsidRDefault="00053669" w:rsidP="00053669">
      <w:pPr>
        <w:spacing w:line="360" w:lineRule="auto"/>
        <w:ind w:firstLine="720"/>
        <w:jc w:val="both"/>
        <w:rPr>
          <w:rFonts w:ascii="Palatino Linotype" w:hAnsi="Palatino Linotype" w:cstheme="majorBidi"/>
          <w:sz w:val="24"/>
          <w:szCs w:val="24"/>
          <w:lang w:val="en-US"/>
        </w:rPr>
      </w:pPr>
      <w:r w:rsidRPr="007A1008">
        <w:rPr>
          <w:rStyle w:val="fontstyle01"/>
          <w:rFonts w:ascii="Palatino Linotype" w:hAnsi="Palatino Linotype" w:cstheme="majorBidi"/>
          <w:color w:val="auto"/>
          <w:lang w:val="en-US"/>
        </w:rPr>
        <w:t>Nam</w:t>
      </w:r>
      <w:r w:rsidR="00506A31" w:rsidRPr="007A1008">
        <w:rPr>
          <w:rStyle w:val="fontstyle01"/>
          <w:rFonts w:ascii="Palatino Linotype" w:hAnsi="Palatino Linotype" w:cstheme="majorBidi"/>
          <w:color w:val="auto"/>
          <w:lang w:val="en-US"/>
        </w:rPr>
        <w:t>un</w:t>
      </w:r>
      <w:r w:rsidRPr="007A1008">
        <w:rPr>
          <w:rStyle w:val="fontstyle01"/>
          <w:rFonts w:ascii="Palatino Linotype" w:hAnsi="Palatino Linotype" w:cstheme="majorBidi"/>
          <w:color w:val="auto"/>
          <w:lang w:val="en-US"/>
        </w:rPr>
        <w:t xml:space="preserve">, Salah satu pemikirannya yang menonjol adalah adalah tentang hubungan agama dan filsafat. Kegiatan filsafat menurut Ibnu Rusyd </w:t>
      </w:r>
      <w:r w:rsidRPr="007A1008">
        <w:rPr>
          <w:rStyle w:val="fontstyle01"/>
          <w:rFonts w:ascii="Palatino Linotype" w:hAnsi="Palatino Linotype" w:cstheme="majorBidi"/>
          <w:color w:val="auto"/>
          <w:lang w:val="en-US"/>
        </w:rPr>
        <w:lastRenderedPageBreak/>
        <w:t>tidak lain untuk mempelajari segala wujud dan merenungkannya sebagai bukti akan adanya pencipta, bahwa segala wujud merupakan ciptaan yang menunjukkan adanya pencipta. Semakin sempurna pengetahuan tentang yang wujud maka semakin sempurna pula pengetahuan tentang pencipta.</w:t>
      </w:r>
      <w:r w:rsidRPr="007A1008">
        <w:rPr>
          <w:rStyle w:val="FootnoteReference"/>
          <w:rFonts w:ascii="Palatino Linotype" w:hAnsi="Palatino Linotype" w:cstheme="majorBidi"/>
          <w:sz w:val="24"/>
          <w:szCs w:val="24"/>
          <w:lang w:val="en-US"/>
        </w:rPr>
        <w:footnoteReference w:id="21"/>
      </w:r>
    </w:p>
    <w:p w14:paraId="46892D58" w14:textId="0AF44991" w:rsidR="00FA3BAE" w:rsidRPr="00FA3BAE" w:rsidRDefault="00FA3BAE" w:rsidP="00FA3BAE">
      <w:pPr>
        <w:spacing w:line="360" w:lineRule="auto"/>
        <w:ind w:firstLine="360"/>
        <w:jc w:val="both"/>
        <w:rPr>
          <w:rFonts w:ascii="Palatino Linotype" w:hAnsi="Palatino Linotype" w:cstheme="majorBidi"/>
          <w:sz w:val="24"/>
          <w:szCs w:val="24"/>
          <w:lang w:val="en-US"/>
        </w:rPr>
      </w:pPr>
      <w:r w:rsidRPr="00FA3BAE">
        <w:rPr>
          <w:rFonts w:ascii="Palatino Linotype" w:hAnsi="Palatino Linotype"/>
          <w:sz w:val="24"/>
          <w:szCs w:val="24"/>
        </w:rPr>
        <w:tab/>
        <w:t xml:space="preserve">Ibn </w:t>
      </w:r>
      <w:r w:rsidRPr="00FA3BAE">
        <w:rPr>
          <w:rFonts w:ascii="Palatino Linotype" w:hAnsi="Palatino Linotype" w:cstheme="majorBidi"/>
          <w:sz w:val="24"/>
          <w:szCs w:val="24"/>
          <w:lang w:val="en-US"/>
        </w:rPr>
        <w:t xml:space="preserve">Rusyd berupaya mencari titik temu persesuaian antara argumen akal dan argumen syariat (wahyu) tentang berbagai hal dalam kerangka yang harmonis, dan dalam bahasa yang mengakomodir pemahaman setiap lapisan tingkatan ummat Islam. </w:t>
      </w:r>
      <w:proofErr w:type="gramStart"/>
      <w:r w:rsidRPr="00FA3BAE">
        <w:rPr>
          <w:rFonts w:ascii="Palatino Linotype" w:hAnsi="Palatino Linotype" w:cstheme="majorBidi"/>
          <w:sz w:val="24"/>
          <w:szCs w:val="24"/>
          <w:lang w:val="en-US"/>
        </w:rPr>
        <w:t>Ia</w:t>
      </w:r>
      <w:proofErr w:type="gramEnd"/>
      <w:r w:rsidRPr="00FA3BAE">
        <w:rPr>
          <w:rFonts w:ascii="Palatino Linotype" w:hAnsi="Palatino Linotype" w:cstheme="majorBidi"/>
          <w:sz w:val="24"/>
          <w:szCs w:val="24"/>
          <w:lang w:val="en-US"/>
        </w:rPr>
        <w:t xml:space="preserve"> membangun argumentasi filsafat yang teratur dan penuh rasa hormat kepada al-Ghazalī melalui bukunya Tahāfut al-Tahāfut, dan dengan bukunya Fasl al-Maqāl fi ma bayna al-Hikmah wa al-Syarī‘ah min al-ittisālIbn Rusyd membuat metode teologis- filosofis untuk menjembatani antara filsafat dan agama sebagai suatu harmoni kesetaraan dan kesejajaran.</w:t>
      </w:r>
      <w:r w:rsidRPr="00FA3BAE">
        <w:rPr>
          <w:rStyle w:val="FootnoteReference"/>
          <w:rFonts w:ascii="Palatino Linotype" w:hAnsi="Palatino Linotype" w:cstheme="majorBidi"/>
          <w:sz w:val="24"/>
          <w:szCs w:val="24"/>
          <w:lang w:val="en-US"/>
        </w:rPr>
        <w:footnoteReference w:id="22"/>
      </w:r>
    </w:p>
    <w:p w14:paraId="75E41350" w14:textId="1A1EEE82" w:rsidR="002F1309" w:rsidRDefault="00FA3BAE" w:rsidP="000176FD">
      <w:pPr>
        <w:spacing w:line="360" w:lineRule="auto"/>
        <w:ind w:firstLine="720"/>
        <w:jc w:val="both"/>
        <w:rPr>
          <w:rFonts w:ascii="Palatino Linotype" w:hAnsi="Palatino Linotype" w:cstheme="majorBidi"/>
          <w:sz w:val="24"/>
          <w:szCs w:val="24"/>
          <w:lang w:val="en-US"/>
        </w:rPr>
      </w:pPr>
      <w:r w:rsidRPr="00FA3BAE">
        <w:rPr>
          <w:rFonts w:ascii="Palatino Linotype" w:hAnsi="Palatino Linotype" w:cstheme="majorBidi"/>
          <w:sz w:val="24"/>
          <w:szCs w:val="24"/>
          <w:lang w:val="en-US"/>
        </w:rPr>
        <w:t>Dalam membahas akal dan wahyu Ibn Rusyd menggunakan prinsip hubungan (ittisal) yang dalam argumen-argumerntasinya mencoba mencari hubungan antara agama dan falsafah. Argumen-argumentasinya adalah dengan menetukan kedudukan hukum belajar falsafah. Menurutnya belajar falsafah adalah belajar ilmu tentang tuhan, yaitu kegiatan filosofis yang mengkaji dan memikirkan segala sesuatu yang wujud (al-mawjudat), yang merupakan pertanda adanya pencipta, karena al-mawjudat adalah produk dari ciptaan. Lebih sempurna ilmu kita tentang hasil ciptaan Tuhan (al-mwajudat) lebih sempurna pula ilmu kita tentang Tuhan. Mendorong aktifitas bertafakur tentang al-mawjudat ini, maka belajar diwajibkan dan diperintahkan oleh wahyu.</w:t>
      </w:r>
      <w:r w:rsidRPr="00FA3BAE">
        <w:rPr>
          <w:rStyle w:val="FootnoteReference"/>
          <w:rFonts w:ascii="Palatino Linotype" w:hAnsi="Palatino Linotype" w:cstheme="majorBidi"/>
          <w:sz w:val="24"/>
          <w:szCs w:val="24"/>
          <w:lang w:val="en-US"/>
        </w:rPr>
        <w:footnoteReference w:id="23"/>
      </w:r>
    </w:p>
    <w:p w14:paraId="600D3A2D" w14:textId="77777777" w:rsidR="00901638" w:rsidRPr="00F2723C" w:rsidRDefault="00901638" w:rsidP="00901638">
      <w:pPr>
        <w:pStyle w:val="NormalWeb"/>
        <w:spacing w:after="0" w:line="360" w:lineRule="auto"/>
        <w:ind w:firstLine="720"/>
        <w:jc w:val="both"/>
        <w:rPr>
          <w:rFonts w:ascii="Palatino Linotype" w:hAnsi="Palatino Linotype"/>
          <w:color w:val="000000"/>
        </w:rPr>
      </w:pPr>
      <w:r w:rsidRPr="00F2723C">
        <w:rPr>
          <w:rFonts w:ascii="Palatino Linotype" w:hAnsi="Palatino Linotype"/>
        </w:rPr>
        <w:t xml:space="preserve">Wahyu dan akal merupakan dua hal yang terhubung, sulit dipisahkan dan saling mempengaruhi. Keduanya berasal dari satu sumber yaitu Tuhan </w:t>
      </w:r>
      <w:r w:rsidRPr="00F2723C">
        <w:rPr>
          <w:rFonts w:ascii="Palatino Linotype" w:hAnsi="Palatino Linotype"/>
        </w:rPr>
        <w:lastRenderedPageBreak/>
        <w:t xml:space="preserve">Yang Maha Benar, sehingga tidak ada kemungkinan konflik diantara keduanya. </w:t>
      </w:r>
      <w:r w:rsidRPr="00082352">
        <w:rPr>
          <w:rFonts w:ascii="Palatino Linotype" w:hAnsi="Palatino Linotype"/>
          <w:color w:val="000000"/>
        </w:rPr>
        <w:t>Al-Quran merupakan prinsip mendasar dalam menginspirasi setiap upaya akal untuk menemukan kebenaran. Artinya akal masih mempunyai tempat dan kemungkinan untuk menemukan kebenaran berdasarkan kebenaran iman yang diilhami Al-Quran.</w:t>
      </w:r>
      <w:r>
        <w:rPr>
          <w:rStyle w:val="FootnoteReference"/>
          <w:rFonts w:ascii="Palatino Linotype" w:hAnsi="Palatino Linotype"/>
          <w:color w:val="000000"/>
        </w:rPr>
        <w:footnoteReference w:id="24"/>
      </w:r>
    </w:p>
    <w:p w14:paraId="2A1B02FE" w14:textId="2A7AA60D" w:rsidR="000176FD" w:rsidRPr="00901638" w:rsidRDefault="00901638" w:rsidP="00901638">
      <w:pPr>
        <w:pStyle w:val="NormalWeb"/>
        <w:spacing w:after="0" w:line="360" w:lineRule="auto"/>
        <w:ind w:firstLine="720"/>
        <w:jc w:val="both"/>
        <w:rPr>
          <w:rFonts w:ascii="Palatino Linotype" w:hAnsi="Palatino Linotype"/>
        </w:rPr>
      </w:pPr>
      <w:r w:rsidRPr="00F2723C">
        <w:rPr>
          <w:rFonts w:ascii="Palatino Linotype" w:hAnsi="Palatino Linotype"/>
        </w:rPr>
        <w:t xml:space="preserve">Dalam bukunya </w:t>
      </w:r>
      <w:r w:rsidRPr="00F2723C">
        <w:rPr>
          <w:rFonts w:ascii="Palatino Linotype" w:hAnsi="Palatino Linotype"/>
          <w:i/>
          <w:iCs/>
        </w:rPr>
        <w:t>Dar’ Ta’arud al-’Aql wa al-Naql</w:t>
      </w:r>
      <w:r w:rsidRPr="00F2723C">
        <w:rPr>
          <w:rFonts w:ascii="Palatino Linotype" w:hAnsi="Palatino Linotype"/>
        </w:rPr>
        <w:t>, Ibnu Taimiyah secara khusus mengkritik dan mengomentari asumsi para filosof tentang kontradiksi antara wahyu dan akal. Ibnu Taimiyah menegaskan dalam kitabnya bahwa pertentangan antara al-dalil al-naql (wahyu) dan al-dalil al-'aql (akal) tidak dapat diterima. Sebab, pada prinsipnya wahyu dan akal tidak bisa saling bertentangan. Dan jika dipaksakan maka akan terjadi pertentangan diantara keduanya, pertentangan yang timbul adalah dalil yaitu tentang status qat’i zanni, bukan tentang statusnya sebagai wahyu dan akal.</w:t>
      </w:r>
      <w:r w:rsidRPr="00F2723C">
        <w:rPr>
          <w:rStyle w:val="FootnoteReference"/>
          <w:rFonts w:ascii="Palatino Linotype" w:hAnsi="Palatino Linotype"/>
        </w:rPr>
        <w:footnoteReference w:id="25"/>
      </w:r>
    </w:p>
    <w:p w14:paraId="49C5CF82" w14:textId="77777777" w:rsidR="002F1309" w:rsidRPr="00FA3BAE" w:rsidRDefault="002F1309" w:rsidP="00FA3BAE">
      <w:pPr>
        <w:pStyle w:val="NormalWeb"/>
        <w:spacing w:before="0" w:beforeAutospacing="0" w:after="0" w:afterAutospacing="0" w:line="360" w:lineRule="auto"/>
        <w:jc w:val="both"/>
      </w:pPr>
      <w:r w:rsidRPr="00FA3BAE">
        <w:rPr>
          <w:rFonts w:ascii="Questrial" w:hAnsi="Questrial" w:cs="Questrial"/>
          <w:b/>
          <w:bCs/>
          <w:color w:val="000000"/>
        </w:rPr>
        <w:t>Conclusion </w:t>
      </w:r>
    </w:p>
    <w:p w14:paraId="117B766E" w14:textId="7189416C" w:rsidR="00E20366" w:rsidRPr="00E157B6" w:rsidRDefault="00E20366" w:rsidP="00E20366">
      <w:pPr>
        <w:pStyle w:val="ListParagraph"/>
        <w:spacing w:line="360" w:lineRule="auto"/>
        <w:ind w:left="0" w:firstLine="720"/>
        <w:jc w:val="both"/>
        <w:rPr>
          <w:rStyle w:val="fontstyle21"/>
          <w:rFonts w:ascii="Palatino Linotype" w:hAnsi="Palatino Linotype" w:cstheme="majorBidi"/>
          <w:i w:val="0"/>
          <w:iCs w:val="0"/>
          <w:color w:val="auto"/>
        </w:rPr>
      </w:pPr>
      <w:r w:rsidRPr="00E157B6">
        <w:rPr>
          <w:rFonts w:ascii="Palatino Linotype" w:hAnsi="Palatino Linotype" w:cstheme="majorBidi"/>
          <w:sz w:val="24"/>
          <w:szCs w:val="24"/>
        </w:rPr>
        <w:t xml:space="preserve">Abu al-Walid Muhammad bin Ahmad bin Muhammad bin Rusyd, berasal dari keturunan Arab kelahiran Andalusia. Ibnu Rusyd lahir di Andalusia (Spanyol) tepatnya di kota Kordoba tahun 526H/1198 M. Dibarat ibnu rusyd terkenal dengan sebutan Avveroes. </w:t>
      </w:r>
      <w:r w:rsidRPr="00E157B6">
        <w:rPr>
          <w:rStyle w:val="fontstyle01"/>
          <w:rFonts w:ascii="Palatino Linotype" w:hAnsi="Palatino Linotype" w:cstheme="majorBidi"/>
          <w:color w:val="auto"/>
          <w:lang w:val="en-US"/>
        </w:rPr>
        <w:t xml:space="preserve">Karya ibnu rusyd yang masih orisinil, sebagai berikut: </w:t>
      </w:r>
      <w:r w:rsidRPr="00E157B6">
        <w:rPr>
          <w:rStyle w:val="fontstyle21"/>
          <w:rFonts w:ascii="Palatino Linotype" w:hAnsi="Palatino Linotype" w:cstheme="majorBidi"/>
        </w:rPr>
        <w:t>Bidayatul Mujtahid wa Nihayatul Muqtasid</w:t>
      </w:r>
      <w:r w:rsidRPr="00E157B6">
        <w:rPr>
          <w:rFonts w:ascii="Palatino Linotype" w:hAnsi="Palatino Linotype" w:cstheme="majorBidi"/>
          <w:sz w:val="24"/>
          <w:szCs w:val="24"/>
          <w:lang w:val="en-US"/>
        </w:rPr>
        <w:t xml:space="preserve">, </w:t>
      </w:r>
      <w:r w:rsidRPr="00E157B6">
        <w:rPr>
          <w:rStyle w:val="fontstyle21"/>
          <w:rFonts w:ascii="Palatino Linotype" w:hAnsi="Palatino Linotype" w:cstheme="majorBidi"/>
        </w:rPr>
        <w:t>Fashl al-Maqol fi Ma Baina al-Syariah wal Hikmah Min Ittishol (</w:t>
      </w:r>
      <w:r w:rsidRPr="00E157B6">
        <w:rPr>
          <w:rStyle w:val="fontstyle01"/>
          <w:rFonts w:ascii="Palatino Linotype" w:hAnsi="Palatino Linotype" w:cstheme="majorBidi"/>
        </w:rPr>
        <w:t>berisi</w:t>
      </w:r>
      <w:r w:rsidRPr="00E157B6">
        <w:rPr>
          <w:rFonts w:ascii="Palatino Linotype" w:hAnsi="Palatino Linotype" w:cstheme="majorBidi"/>
          <w:color w:val="000000"/>
          <w:sz w:val="24"/>
          <w:szCs w:val="24"/>
        </w:rPr>
        <w:t xml:space="preserve"> </w:t>
      </w:r>
      <w:r w:rsidRPr="00E157B6">
        <w:rPr>
          <w:rStyle w:val="fontstyle01"/>
          <w:rFonts w:ascii="Palatino Linotype" w:hAnsi="Palatino Linotype" w:cstheme="majorBidi"/>
        </w:rPr>
        <w:t xml:space="preserve">korelasi antara agama dan filsafat </w:t>
      </w:r>
      <w:r w:rsidRPr="00E157B6">
        <w:rPr>
          <w:rFonts w:ascii="Palatino Linotype" w:hAnsi="Palatino Linotype" w:cstheme="majorBidi"/>
          <w:sz w:val="24"/>
          <w:szCs w:val="24"/>
          <w:lang w:val="en-US"/>
        </w:rPr>
        <w:t xml:space="preserve">yang isinya menguraikan adanya keselarasan antara agama dan akal karena keduanya adalah pemberian Tuhan, </w:t>
      </w:r>
      <w:r w:rsidRPr="00E157B6">
        <w:rPr>
          <w:rStyle w:val="fontstyle21"/>
          <w:rFonts w:ascii="Palatino Linotype" w:hAnsi="Palatino Linotype" w:cstheme="majorBidi"/>
        </w:rPr>
        <w:t>Al-Kasf ‘An Manahij al-Adillat Fii ‘Aqoid al-Millat</w:t>
      </w:r>
      <w:r w:rsidRPr="00E157B6">
        <w:rPr>
          <w:rFonts w:ascii="Palatino Linotype" w:hAnsi="Palatino Linotype" w:cstheme="majorBidi"/>
          <w:sz w:val="24"/>
          <w:szCs w:val="24"/>
          <w:lang w:val="en-US"/>
        </w:rPr>
        <w:t xml:space="preserve">, </w:t>
      </w:r>
      <w:r w:rsidRPr="00E157B6">
        <w:rPr>
          <w:rStyle w:val="fontstyle21"/>
          <w:rFonts w:ascii="Palatino Linotype" w:hAnsi="Palatino Linotype" w:cstheme="majorBidi"/>
        </w:rPr>
        <w:t xml:space="preserve">Tahafut at-Tahafut. </w:t>
      </w:r>
    </w:p>
    <w:p w14:paraId="32C25EBE" w14:textId="42B7B355" w:rsidR="00E20366" w:rsidRPr="00E157B6" w:rsidRDefault="00E20366" w:rsidP="00E20366">
      <w:pPr>
        <w:spacing w:line="360" w:lineRule="auto"/>
        <w:ind w:firstLine="720"/>
        <w:jc w:val="both"/>
        <w:rPr>
          <w:rStyle w:val="fontstyle01"/>
          <w:rFonts w:ascii="Palatino Linotype" w:hAnsi="Palatino Linotype" w:cstheme="majorBidi"/>
          <w:color w:val="auto"/>
          <w:lang w:val="en-US"/>
        </w:rPr>
      </w:pPr>
      <w:r w:rsidRPr="00E157B6">
        <w:rPr>
          <w:rStyle w:val="fontstyle01"/>
          <w:rFonts w:ascii="Palatino Linotype" w:hAnsi="Palatino Linotype" w:cstheme="majorBidi"/>
          <w:color w:val="auto"/>
          <w:lang w:val="en-US"/>
        </w:rPr>
        <w:lastRenderedPageBreak/>
        <w:t>Kegiatan filsafat menurut Ibnu Rusyd tidak lain untuk mempelajari segala wujud dan merenungkannya sebagai bukti akan adanya pencipta, bahwa segala wujud merupakan ciptaan yang menunjukkan adanya pencipta. Semakin sempurna pengetahuan tentang yang wujud maka semakin sempurna pula pengetahuan tentang pencipta. Menurut Ibn Rusyd filsafat tidak bertentangan dengan syariat (agama), bahkan orang Islam diwajibkan atau sekurang-kurangnya dianjurkan untuk mempelajari filsafat. Kedua ilmu ini mengajarkan kebenaran yang tidak mungkin terjadi pertentangan antara keduanya</w:t>
      </w:r>
    </w:p>
    <w:p w14:paraId="42C0668B" w14:textId="4EA28B40" w:rsidR="00E20366" w:rsidRDefault="00E20366" w:rsidP="00E157B6">
      <w:pPr>
        <w:spacing w:line="360" w:lineRule="auto"/>
        <w:ind w:firstLine="720"/>
        <w:jc w:val="both"/>
        <w:rPr>
          <w:rFonts w:ascii="Palatino Linotype" w:hAnsi="Palatino Linotype" w:cstheme="majorBidi"/>
          <w:sz w:val="24"/>
          <w:szCs w:val="24"/>
          <w:lang w:val="en-US"/>
        </w:rPr>
      </w:pPr>
      <w:r w:rsidRPr="00E157B6">
        <w:rPr>
          <w:rFonts w:ascii="Palatino Linotype" w:hAnsi="Palatino Linotype" w:cstheme="majorBidi"/>
          <w:sz w:val="24"/>
          <w:szCs w:val="24"/>
          <w:lang w:val="en-US"/>
        </w:rPr>
        <w:t>Ibn Rusyd memberi penjelasan bahwa kesibukan dengan filsafat tidaklah membuat aqidah dan agama menjadi rusak. Sebab filsafat tidaklah bertentangan dengan agama, sedang agama tidak mengingkari filsafat, bahkan menganjurkan justru dan menyerukannya, karena agama memerintahkan untuk meneliti dan merenungkan alam raya. Secara umum berfilsafat itu tak lain adalah meneliti wujud-wujud dari sisi penunjukannya atas adanya Pencipta.</w:t>
      </w:r>
    </w:p>
    <w:p w14:paraId="3994BB87" w14:textId="33774839" w:rsidR="00E157B6" w:rsidRPr="00CC5741" w:rsidRDefault="00CC5741" w:rsidP="00CC5741">
      <w:pPr>
        <w:spacing w:line="360" w:lineRule="auto"/>
        <w:ind w:firstLine="720"/>
        <w:jc w:val="both"/>
        <w:rPr>
          <w:rStyle w:val="fontstyle01"/>
          <w:rFonts w:ascii="Palatino Linotype" w:hAnsi="Palatino Linotype" w:cstheme="majorBidi"/>
          <w:color w:val="auto"/>
          <w:lang w:val="en-US"/>
        </w:rPr>
      </w:pPr>
      <w:bookmarkStart w:id="2" w:name="_Hlk153434525"/>
      <w:r w:rsidRPr="00CC5741">
        <w:rPr>
          <w:rStyle w:val="fontstyle01"/>
          <w:rFonts w:ascii="Palatino Linotype" w:hAnsi="Palatino Linotype" w:cstheme="majorBidi"/>
          <w:color w:val="auto"/>
          <w:lang w:val="en-US"/>
        </w:rPr>
        <w:t>Ibn Taimiyyah adalah pemikir Muslim yang produktif. Ia menulis mengenai hampir setiap aspek dalam Islam. Sebagian dari karya-karya Ibn Taimiyyah merupakan reaksi terhadap kekeliruan-kekeliruan yang dialami masyarakat muslim pada masanya. Pesan utama yang disampaikannya adalah seruan untuk kembali kepada al-Qur’an dan al-Sunah. D</w:t>
      </w:r>
      <w:r w:rsidR="004978FF" w:rsidRPr="00CC5741">
        <w:rPr>
          <w:rStyle w:val="fontstyle01"/>
          <w:rFonts w:ascii="Palatino Linotype" w:hAnsi="Palatino Linotype" w:cstheme="majorBidi"/>
          <w:color w:val="auto"/>
          <w:lang w:val="en-US"/>
        </w:rPr>
        <w:t xml:space="preserve">alam pemikiran Ibnu Taymiyyah, relasi antara agama dan sains sangat dekat. Kadang, agama merupakan fenomena sosial yang bisa didekati dengan pendekatan saintifik, dan kadang pula, agama merupakan sudut pandang yang sakral karena datang dari Tuhan. Pemikian Ibnu Taymiyyah adalah rumusan unik, bukan saja mampu memahami doktrin agama dari sudut </w:t>
      </w:r>
      <w:r w:rsidR="004978FF" w:rsidRPr="00CC5741">
        <w:rPr>
          <w:rStyle w:val="fontstyle01"/>
          <w:rFonts w:ascii="Palatino Linotype" w:hAnsi="Palatino Linotype" w:cstheme="majorBidi"/>
          <w:color w:val="auto"/>
          <w:lang w:val="en-US"/>
        </w:rPr>
        <w:lastRenderedPageBreak/>
        <w:t>pandang saintifik, melainkan juga mampu menjadikan yang saintifik sebagai sesuatu yang sakral lantaran dibingkai dalam sudut pandang agama.</w:t>
      </w:r>
      <w:r w:rsidR="004978FF" w:rsidRPr="00CC5741">
        <w:rPr>
          <w:rStyle w:val="FootnoteReference"/>
          <w:rFonts w:ascii="Palatino Linotype" w:hAnsi="Palatino Linotype" w:cstheme="majorBidi"/>
          <w:sz w:val="24"/>
          <w:szCs w:val="24"/>
          <w:lang w:val="en-US"/>
        </w:rPr>
        <w:footnoteReference w:id="26"/>
      </w:r>
    </w:p>
    <w:bookmarkEnd w:id="2"/>
    <w:p w14:paraId="4B8821F5" w14:textId="77777777" w:rsidR="004F6011" w:rsidRPr="00E20366" w:rsidRDefault="004F6011" w:rsidP="004F6011">
      <w:pPr>
        <w:pStyle w:val="NormalWeb"/>
        <w:spacing w:before="0" w:beforeAutospacing="0" w:after="0" w:afterAutospacing="0" w:line="360" w:lineRule="auto"/>
        <w:ind w:firstLine="720"/>
        <w:jc w:val="both"/>
        <w:rPr>
          <w:rFonts w:ascii="Palatino Linotype" w:hAnsi="Palatino Linotype"/>
          <w:color w:val="000000"/>
          <w:lang w:val="en-US"/>
        </w:rPr>
      </w:pPr>
    </w:p>
    <w:p w14:paraId="7D10F19A" w14:textId="77777777" w:rsidR="00CC5741" w:rsidRDefault="002F1309" w:rsidP="00CC5741">
      <w:pPr>
        <w:widowControl w:val="0"/>
        <w:autoSpaceDE w:val="0"/>
        <w:autoSpaceDN w:val="0"/>
        <w:adjustRightInd w:val="0"/>
        <w:spacing w:after="0" w:line="360" w:lineRule="auto"/>
        <w:ind w:left="480" w:hanging="480"/>
        <w:rPr>
          <w:rFonts w:ascii="Questrial" w:hAnsi="Questrial" w:cs="Questrial"/>
          <w:b/>
          <w:bCs/>
          <w:color w:val="000000"/>
        </w:rPr>
      </w:pPr>
      <w:r w:rsidRPr="00FA3BAE">
        <w:rPr>
          <w:rFonts w:ascii="Questrial" w:hAnsi="Questrial" w:cs="Questrial"/>
          <w:b/>
          <w:bCs/>
          <w:color w:val="000000"/>
        </w:rPr>
        <w:t>References</w:t>
      </w:r>
    </w:p>
    <w:p w14:paraId="759EB487" w14:textId="3341C435"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b/>
          <w:bCs/>
          <w:color w:val="000000"/>
        </w:rPr>
        <w:fldChar w:fldCharType="begin" w:fldLock="1"/>
      </w:r>
      <w:r w:rsidRPr="00CC5741">
        <w:rPr>
          <w:rFonts w:ascii="Palatino Linotype" w:hAnsi="Palatino Linotype" w:cs="Questrial"/>
          <w:b/>
          <w:bCs/>
          <w:color w:val="000000"/>
        </w:rPr>
        <w:instrText xml:space="preserve">ADDIN Mendeley Bibliography CSL_BIBLIOGRAPHY </w:instrText>
      </w:r>
      <w:r w:rsidRPr="00CC5741">
        <w:rPr>
          <w:rFonts w:ascii="Palatino Linotype" w:hAnsi="Palatino Linotype" w:cs="Questrial"/>
          <w:b/>
          <w:bCs/>
          <w:color w:val="000000"/>
        </w:rPr>
        <w:fldChar w:fldCharType="separate"/>
      </w:r>
      <w:r w:rsidRPr="00CC5741">
        <w:rPr>
          <w:rFonts w:ascii="Palatino Linotype" w:hAnsi="Palatino Linotype" w:cs="Questrial"/>
          <w:noProof/>
          <w:kern w:val="0"/>
          <w:sz w:val="24"/>
          <w:szCs w:val="24"/>
        </w:rPr>
        <w:t>Akbar, Anillahi Ilham, and Abdul Kadir Riyadi. “Pertentangan Antara Wahyu Dan Akal Sebagai Al-Dakhīl Dalam Tafsir: Kajian Terhadap Kitab Dar’ Ta‘āru</w:t>
      </w:r>
      <w:r w:rsidRPr="00CC5741">
        <w:rPr>
          <w:rFonts w:ascii="Calibri" w:hAnsi="Calibri" w:cs="Calibri"/>
          <w:noProof/>
          <w:kern w:val="0"/>
          <w:sz w:val="24"/>
          <w:szCs w:val="24"/>
        </w:rPr>
        <w:t>ḍ</w:t>
      </w:r>
      <w:r w:rsidRPr="00CC5741">
        <w:rPr>
          <w:rFonts w:ascii="Palatino Linotype" w:hAnsi="Palatino Linotype" w:cs="Questrial"/>
          <w:noProof/>
          <w:kern w:val="0"/>
          <w:sz w:val="24"/>
          <w:szCs w:val="24"/>
        </w:rPr>
        <w:t xml:space="preserve"> Karya Ibn Taymiyah.” </w:t>
      </w:r>
      <w:r w:rsidRPr="00CC5741">
        <w:rPr>
          <w:rFonts w:ascii="Palatino Linotype" w:hAnsi="Palatino Linotype" w:cs="Questrial"/>
          <w:i/>
          <w:iCs/>
          <w:noProof/>
          <w:kern w:val="0"/>
          <w:sz w:val="24"/>
          <w:szCs w:val="24"/>
        </w:rPr>
        <w:t>Qof</w:t>
      </w:r>
      <w:r w:rsidRPr="00CC5741">
        <w:rPr>
          <w:rFonts w:ascii="Palatino Linotype" w:hAnsi="Palatino Linotype" w:cs="Questrial"/>
          <w:noProof/>
          <w:kern w:val="0"/>
          <w:sz w:val="24"/>
          <w:szCs w:val="24"/>
        </w:rPr>
        <w:t xml:space="preserve"> 6, no. 2 (2022): 267–284.</w:t>
      </w:r>
    </w:p>
    <w:p w14:paraId="6480A53D"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Azizah, Qois. “Konsep Tauhid Ibnu Taimiyah Dan Pengaruhnya Terhadap Pembaharuan Pemikiran Islam.” </w:t>
      </w:r>
      <w:r w:rsidRPr="00CC5741">
        <w:rPr>
          <w:rFonts w:ascii="Palatino Linotype" w:hAnsi="Palatino Linotype" w:cs="Questrial"/>
          <w:i/>
          <w:iCs/>
          <w:noProof/>
          <w:kern w:val="0"/>
          <w:sz w:val="24"/>
          <w:szCs w:val="24"/>
        </w:rPr>
        <w:t>Aqlania: Jurnal Filsafat dan Teologi Islam</w:t>
      </w:r>
      <w:r w:rsidRPr="00CC5741">
        <w:rPr>
          <w:rFonts w:ascii="Palatino Linotype" w:hAnsi="Palatino Linotype" w:cs="Questrial"/>
          <w:noProof/>
          <w:kern w:val="0"/>
          <w:sz w:val="24"/>
          <w:szCs w:val="24"/>
        </w:rPr>
        <w:t xml:space="preserve"> 12, no. 2 (2021): 181–198.</w:t>
      </w:r>
    </w:p>
    <w:p w14:paraId="364FFB4A"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Fakultas, Dosen, Humaniora Iain, and S T S Jambi. “IBN RUSYD Samsul Huda” (1991): 1–24.</w:t>
      </w:r>
    </w:p>
    <w:p w14:paraId="35680F77"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Fitrianah, Rossi Delta. “Ibnu Rusyd (Averroisme) Dan Pengaruhnya Dibarat.” </w:t>
      </w:r>
      <w:r w:rsidRPr="00CC5741">
        <w:rPr>
          <w:rFonts w:ascii="Palatino Linotype" w:hAnsi="Palatino Linotype" w:cs="Questrial"/>
          <w:i/>
          <w:iCs/>
          <w:noProof/>
          <w:kern w:val="0"/>
          <w:sz w:val="24"/>
          <w:szCs w:val="24"/>
        </w:rPr>
        <w:t>EL-AFKAR</w:t>
      </w:r>
      <w:r w:rsidRPr="00CC5741">
        <w:rPr>
          <w:rFonts w:ascii="Arial" w:hAnsi="Arial" w:cs="Arial"/>
          <w:i/>
          <w:iCs/>
          <w:noProof/>
          <w:kern w:val="0"/>
          <w:sz w:val="24"/>
          <w:szCs w:val="24"/>
        </w:rPr>
        <w:t> </w:t>
      </w:r>
      <w:r w:rsidRPr="00CC5741">
        <w:rPr>
          <w:rFonts w:ascii="Palatino Linotype" w:hAnsi="Palatino Linotype" w:cs="Questrial"/>
          <w:i/>
          <w:iCs/>
          <w:noProof/>
          <w:kern w:val="0"/>
          <w:sz w:val="24"/>
          <w:szCs w:val="24"/>
        </w:rPr>
        <w:t>: Jurnal Pemikiran Keislaman dan Tafsir Hadis</w:t>
      </w:r>
      <w:r w:rsidRPr="00CC5741">
        <w:rPr>
          <w:rFonts w:ascii="Palatino Linotype" w:hAnsi="Palatino Linotype" w:cs="Questrial"/>
          <w:noProof/>
          <w:kern w:val="0"/>
          <w:sz w:val="24"/>
          <w:szCs w:val="24"/>
        </w:rPr>
        <w:t xml:space="preserve"> 7, no. 1 (2018): 15.</w:t>
      </w:r>
    </w:p>
    <w:p w14:paraId="742609F1"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Hasanah, Umdatul. “Filsafat Dan Agama Menurut Ibn Rusyd.” </w:t>
      </w:r>
      <w:r w:rsidRPr="00CC5741">
        <w:rPr>
          <w:rFonts w:ascii="Palatino Linotype" w:hAnsi="Palatino Linotype" w:cs="Questrial"/>
          <w:i/>
          <w:iCs/>
          <w:noProof/>
          <w:kern w:val="0"/>
          <w:sz w:val="24"/>
          <w:szCs w:val="24"/>
        </w:rPr>
        <w:t>Al-Fath</w:t>
      </w:r>
      <w:r w:rsidRPr="00CC5741">
        <w:rPr>
          <w:rFonts w:ascii="Palatino Linotype" w:hAnsi="Palatino Linotype" w:cs="Questrial"/>
          <w:noProof/>
          <w:kern w:val="0"/>
          <w:sz w:val="24"/>
          <w:szCs w:val="24"/>
        </w:rPr>
        <w:t xml:space="preserve"> 02, no. 01 (2008): 01–10.</w:t>
      </w:r>
    </w:p>
    <w:p w14:paraId="725847DA"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Ibad, Muslikhul, and Ahmad Dwi Nur Khalim. “Epistemologi Ibnu Rusyd (Telaah Relasi Wahyu Dan Rasio).” </w:t>
      </w:r>
      <w:r w:rsidRPr="00CC5741">
        <w:rPr>
          <w:rFonts w:ascii="Palatino Linotype" w:hAnsi="Palatino Linotype" w:cs="Questrial"/>
          <w:i/>
          <w:iCs/>
          <w:noProof/>
          <w:kern w:val="0"/>
          <w:sz w:val="24"/>
          <w:szCs w:val="24"/>
        </w:rPr>
        <w:t>AN NUR: Jurnal Studi Islam</w:t>
      </w:r>
      <w:r w:rsidRPr="00CC5741">
        <w:rPr>
          <w:rFonts w:ascii="Palatino Linotype" w:hAnsi="Palatino Linotype" w:cs="Questrial"/>
          <w:noProof/>
          <w:kern w:val="0"/>
          <w:sz w:val="24"/>
          <w:szCs w:val="24"/>
        </w:rPr>
        <w:t xml:space="preserve"> 14, no. 1 (2022): 80–92.</w:t>
      </w:r>
    </w:p>
    <w:p w14:paraId="3FC96637"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Imran, Zulfi. “Akal Dan Wahyu Menurut Ibnu Ruysdi.” </w:t>
      </w:r>
      <w:r w:rsidRPr="00CC5741">
        <w:rPr>
          <w:rFonts w:ascii="Palatino Linotype" w:hAnsi="Palatino Linotype" w:cs="Questrial"/>
          <w:i/>
          <w:iCs/>
          <w:noProof/>
          <w:kern w:val="0"/>
          <w:sz w:val="24"/>
          <w:szCs w:val="24"/>
        </w:rPr>
        <w:t>Almufida</w:t>
      </w:r>
      <w:r w:rsidRPr="00CC5741">
        <w:rPr>
          <w:rFonts w:ascii="Palatino Linotype" w:hAnsi="Palatino Linotype" w:cs="Questrial"/>
          <w:noProof/>
          <w:kern w:val="0"/>
          <w:sz w:val="24"/>
          <w:szCs w:val="24"/>
        </w:rPr>
        <w:t xml:space="preserve"> I, no. 1 (2016): 200–214. https://jurnal.dharmawangsa.ac.id/index.php/almufida/article/view/112/107.</w:t>
      </w:r>
    </w:p>
    <w:p w14:paraId="2C6314BD"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Jawawi, Abdullah. “Konsep Pendidikan Ibnu Taimiyah.” </w:t>
      </w:r>
      <w:r w:rsidRPr="00CC5741">
        <w:rPr>
          <w:rFonts w:ascii="Palatino Linotype" w:hAnsi="Palatino Linotype" w:cs="Questrial"/>
          <w:i/>
          <w:iCs/>
          <w:noProof/>
          <w:kern w:val="0"/>
          <w:sz w:val="24"/>
          <w:szCs w:val="24"/>
        </w:rPr>
        <w:t>Iqra: Jurnal Pendidikan Agama Islam</w:t>
      </w:r>
      <w:r w:rsidRPr="00CC5741">
        <w:rPr>
          <w:rFonts w:ascii="Palatino Linotype" w:hAnsi="Palatino Linotype" w:cs="Questrial"/>
          <w:noProof/>
          <w:kern w:val="0"/>
          <w:sz w:val="24"/>
          <w:szCs w:val="24"/>
        </w:rPr>
        <w:t xml:space="preserve"> 1, no. 1 (2021): 34–42.</w:t>
      </w:r>
    </w:p>
    <w:p w14:paraId="701F5872"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Khaerul Umam Junaid, Sulfitriani, Sri Rahayu. “Agama Dan Filsafat” 02, no. 01 (2023).</w:t>
      </w:r>
    </w:p>
    <w:p w14:paraId="7D90F9AF"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lastRenderedPageBreak/>
        <w:t xml:space="preserve">Muhammad Miqdam Makfi. “Relasi Agama Dan Sains Dalam Pemikiran Teologi Ibn Taymiyyah; Studi Kritis Buku Daru Ta’Arrudl Al-’Aql Wa Al-Naql.” </w:t>
      </w:r>
      <w:r w:rsidRPr="00CC5741">
        <w:rPr>
          <w:rFonts w:ascii="Palatino Linotype" w:hAnsi="Palatino Linotype" w:cs="Questrial"/>
          <w:i/>
          <w:iCs/>
          <w:noProof/>
          <w:kern w:val="0"/>
          <w:sz w:val="24"/>
          <w:szCs w:val="24"/>
        </w:rPr>
        <w:t>Prosiding Konferensi Integrasi Interkoneksi Islam dan Sains</w:t>
      </w:r>
      <w:r w:rsidRPr="00CC5741">
        <w:rPr>
          <w:rFonts w:ascii="Palatino Linotype" w:hAnsi="Palatino Linotype" w:cs="Questrial"/>
          <w:noProof/>
          <w:kern w:val="0"/>
          <w:sz w:val="24"/>
          <w:szCs w:val="24"/>
        </w:rPr>
        <w:t xml:space="preserve"> 4 (2022): 333–339.</w:t>
      </w:r>
    </w:p>
    <w:p w14:paraId="3DC79A8C"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Nur Dianna, Daru. “Kontribusi Filsafat Islam Terhadap Pendidikan Islam (Studi Analisis Al-Ghazali Dan Ibnu Rusyd).” </w:t>
      </w:r>
      <w:r w:rsidRPr="00CC5741">
        <w:rPr>
          <w:rFonts w:ascii="Palatino Linotype" w:hAnsi="Palatino Linotype" w:cs="Questrial"/>
          <w:i/>
          <w:iCs/>
          <w:noProof/>
          <w:kern w:val="0"/>
          <w:sz w:val="24"/>
          <w:szCs w:val="24"/>
        </w:rPr>
        <w:t>Kalimah: Jurnal Studi Agama-Agama dan Pemikiran Islam</w:t>
      </w:r>
      <w:r w:rsidRPr="00CC5741">
        <w:rPr>
          <w:rFonts w:ascii="Palatino Linotype" w:hAnsi="Palatino Linotype" w:cs="Questrial"/>
          <w:noProof/>
          <w:kern w:val="0"/>
          <w:sz w:val="24"/>
          <w:szCs w:val="24"/>
        </w:rPr>
        <w:t xml:space="preserve"> 18, no. 1 (2020): 33–50. http://dx.doi.org/10.21111/klm.v18i1.3967.</w:t>
      </w:r>
    </w:p>
    <w:p w14:paraId="2D80BCF6"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 xml:space="preserve">Saleh, Sujiat Zubaidi. “Qadiyyah Tawassu’ Al-‘Alam Bayna Abi Hamid Al-Ghazali Wa Ibn Rusyd Al-Qurtubi.” </w:t>
      </w:r>
      <w:r w:rsidRPr="00CC5741">
        <w:rPr>
          <w:rFonts w:ascii="Palatino Linotype" w:hAnsi="Palatino Linotype" w:cs="Questrial"/>
          <w:i/>
          <w:iCs/>
          <w:noProof/>
          <w:kern w:val="0"/>
          <w:sz w:val="24"/>
          <w:szCs w:val="24"/>
        </w:rPr>
        <w:t>Tsaqafah</w:t>
      </w:r>
      <w:r w:rsidRPr="00CC5741">
        <w:rPr>
          <w:rFonts w:ascii="Palatino Linotype" w:hAnsi="Palatino Linotype" w:cs="Questrial"/>
          <w:noProof/>
          <w:kern w:val="0"/>
          <w:sz w:val="24"/>
          <w:szCs w:val="24"/>
        </w:rPr>
        <w:t xml:space="preserve"> 5, no. 2 (2009): 405.</w:t>
      </w:r>
    </w:p>
    <w:p w14:paraId="3EDDE383"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kern w:val="0"/>
          <w:sz w:val="24"/>
          <w:szCs w:val="24"/>
        </w:rPr>
      </w:pPr>
      <w:r w:rsidRPr="00CC5741">
        <w:rPr>
          <w:rFonts w:ascii="Palatino Linotype" w:hAnsi="Palatino Linotype" w:cs="Questrial"/>
          <w:noProof/>
          <w:kern w:val="0"/>
          <w:sz w:val="24"/>
          <w:szCs w:val="24"/>
        </w:rPr>
        <w:t>Sunan, U I N, and Kalijaga Yogyakarta. “Pemikiran Ibnu Rusyd Tentang Pendidikan Dan Relevansinya Di Era Kontemporer” (2021): 128–140.</w:t>
      </w:r>
    </w:p>
    <w:p w14:paraId="616DF0A1" w14:textId="77777777" w:rsidR="00CC5741" w:rsidRPr="00CC5741" w:rsidRDefault="00CC5741" w:rsidP="00CC5741">
      <w:pPr>
        <w:widowControl w:val="0"/>
        <w:autoSpaceDE w:val="0"/>
        <w:autoSpaceDN w:val="0"/>
        <w:adjustRightInd w:val="0"/>
        <w:spacing w:after="0" w:line="360" w:lineRule="auto"/>
        <w:ind w:left="480" w:hanging="480"/>
        <w:rPr>
          <w:rFonts w:ascii="Palatino Linotype" w:hAnsi="Palatino Linotype" w:cs="Questrial"/>
          <w:noProof/>
          <w:sz w:val="24"/>
        </w:rPr>
      </w:pPr>
      <w:r w:rsidRPr="00CC5741">
        <w:rPr>
          <w:rFonts w:ascii="Palatino Linotype" w:hAnsi="Palatino Linotype" w:cs="Questrial"/>
          <w:noProof/>
          <w:kern w:val="0"/>
          <w:sz w:val="24"/>
          <w:szCs w:val="24"/>
        </w:rPr>
        <w:t xml:space="preserve">Syamsuddin, Mukhtasar. “Hubungan Wahyu Dan Akal Dalam Tradisi Filsafat Islam.” </w:t>
      </w:r>
      <w:r w:rsidRPr="00CC5741">
        <w:rPr>
          <w:rFonts w:ascii="Palatino Linotype" w:hAnsi="Palatino Linotype" w:cs="Questrial"/>
          <w:i/>
          <w:iCs/>
          <w:noProof/>
          <w:kern w:val="0"/>
          <w:sz w:val="24"/>
          <w:szCs w:val="24"/>
        </w:rPr>
        <w:t>Arete</w:t>
      </w:r>
      <w:r w:rsidRPr="00CC5741">
        <w:rPr>
          <w:rFonts w:ascii="Palatino Linotype" w:hAnsi="Palatino Linotype" w:cs="Questrial"/>
          <w:noProof/>
          <w:kern w:val="0"/>
          <w:sz w:val="24"/>
          <w:szCs w:val="24"/>
        </w:rPr>
        <w:t xml:space="preserve"> 1, no. 2 (2013): 127–148. http://jurnal.wima.ac.id/index.php/ARETE/article/view/173.</w:t>
      </w:r>
    </w:p>
    <w:p w14:paraId="1E05819E" w14:textId="309B2DDE" w:rsidR="002F1309" w:rsidRDefault="00CC5741" w:rsidP="00FA3BAE">
      <w:pPr>
        <w:pStyle w:val="NormalWeb"/>
        <w:spacing w:before="0" w:beforeAutospacing="0" w:after="0" w:afterAutospacing="0" w:line="360" w:lineRule="auto"/>
        <w:jc w:val="both"/>
        <w:rPr>
          <w:rFonts w:ascii="Questrial" w:hAnsi="Questrial" w:cs="Questrial"/>
          <w:b/>
          <w:bCs/>
          <w:color w:val="000000"/>
        </w:rPr>
      </w:pPr>
      <w:r w:rsidRPr="00CC5741">
        <w:rPr>
          <w:rFonts w:ascii="Palatino Linotype" w:hAnsi="Palatino Linotype" w:cs="Questrial"/>
          <w:b/>
          <w:bCs/>
          <w:color w:val="000000"/>
        </w:rPr>
        <w:fldChar w:fldCharType="end"/>
      </w:r>
    </w:p>
    <w:p w14:paraId="4DE7B53B" w14:textId="0E1D6323" w:rsidR="002F1309" w:rsidRPr="00FA3BAE" w:rsidRDefault="002F1309" w:rsidP="00141233">
      <w:pPr>
        <w:spacing w:line="360" w:lineRule="auto"/>
        <w:jc w:val="both"/>
        <w:rPr>
          <w:sz w:val="24"/>
          <w:szCs w:val="24"/>
          <w:lang w:val="en-US"/>
        </w:rPr>
      </w:pPr>
    </w:p>
    <w:sectPr w:rsidR="002F1309" w:rsidRPr="00FA3B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28C4" w14:textId="77777777" w:rsidR="00AD7EED" w:rsidRDefault="00AD7EED" w:rsidP="00295F33">
      <w:pPr>
        <w:spacing w:after="0" w:line="240" w:lineRule="auto"/>
      </w:pPr>
      <w:r>
        <w:separator/>
      </w:r>
    </w:p>
  </w:endnote>
  <w:endnote w:type="continuationSeparator" w:id="0">
    <w:p w14:paraId="25996E47" w14:textId="77777777" w:rsidR="00AD7EED" w:rsidRDefault="00AD7EED" w:rsidP="0029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عربي">
    <w:panose1 w:val="00000000000000000000"/>
    <w:charset w:val="00"/>
    <w:family w:val="modern"/>
    <w:notTrueType/>
    <w:pitch w:val="variable"/>
    <w:sig w:usb0="00002007" w:usb1="00000000" w:usb2="00000000"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Questrial">
    <w:altName w:val="Times New Roman"/>
    <w:charset w:val="00"/>
    <w:family w:val="auto"/>
    <w:pitch w:val="variable"/>
    <w:sig w:usb0="00000001" w:usb1="4000201F" w:usb2="08000029"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088B1" w14:textId="77777777" w:rsidR="00AD7EED" w:rsidRDefault="00AD7EED" w:rsidP="00295F33">
      <w:pPr>
        <w:spacing w:after="0" w:line="240" w:lineRule="auto"/>
      </w:pPr>
      <w:r>
        <w:separator/>
      </w:r>
    </w:p>
  </w:footnote>
  <w:footnote w:type="continuationSeparator" w:id="0">
    <w:p w14:paraId="2E121BE8" w14:textId="77777777" w:rsidR="00AD7EED" w:rsidRDefault="00AD7EED" w:rsidP="00295F33">
      <w:pPr>
        <w:spacing w:after="0" w:line="240" w:lineRule="auto"/>
      </w:pPr>
      <w:r>
        <w:continuationSeparator/>
      </w:r>
    </w:p>
  </w:footnote>
  <w:footnote w:id="1">
    <w:p w14:paraId="47DF2548" w14:textId="54C63EDC" w:rsidR="00295F33" w:rsidRPr="00CC5741" w:rsidRDefault="00295F33" w:rsidP="000C2E43">
      <w:pPr>
        <w:ind w:firstLine="720"/>
        <w:rPr>
          <w:rFonts w:ascii="Palatino Linotype" w:eastAsia="Times New Roman" w:hAnsi="Palatino Linotype" w:cs="Times New Roman"/>
          <w:kern w:val="0"/>
          <w:sz w:val="20"/>
          <w:szCs w:val="20"/>
          <w:lang w:eastAsia="en-ID"/>
          <w14:ligatures w14:val="none"/>
        </w:rPr>
      </w:pPr>
      <w:r w:rsidRPr="00CC5741">
        <w:rPr>
          <w:rStyle w:val="FootnoteReference"/>
          <w:rFonts w:ascii="Palatino Linotype" w:hAnsi="Palatino Linotype"/>
          <w:sz w:val="20"/>
          <w:szCs w:val="20"/>
        </w:rPr>
        <w:footnoteRef/>
      </w:r>
      <w:r w:rsidRPr="00CC5741">
        <w:rPr>
          <w:rFonts w:ascii="Palatino Linotype" w:eastAsia="Times New Roman" w:hAnsi="Palatino Linotype" w:cs="Times New Roman"/>
          <w:kern w:val="0"/>
          <w:sz w:val="20"/>
          <w:szCs w:val="20"/>
          <w:lang w:eastAsia="en-ID"/>
          <w14:ligatures w14:val="none"/>
        </w:rPr>
        <w:t xml:space="preserve">Ali, Nurbayani. "Eksistensi Agama, Ilmu Dan Filsafat Dalam Mengatasi Persoalan Pendidikan." </w:t>
      </w:r>
      <w:r w:rsidRPr="00CC5741">
        <w:rPr>
          <w:rFonts w:ascii="Palatino Linotype" w:eastAsia="Times New Roman" w:hAnsi="Palatino Linotype" w:cs="Times New Roman"/>
          <w:i/>
          <w:iCs/>
          <w:kern w:val="0"/>
          <w:sz w:val="20"/>
          <w:szCs w:val="20"/>
          <w:lang w:eastAsia="en-ID"/>
          <w14:ligatures w14:val="none"/>
        </w:rPr>
        <w:t>Jurnal Mimbar Akademika</w:t>
      </w:r>
      <w:r w:rsidRPr="00CC5741">
        <w:rPr>
          <w:rFonts w:ascii="Palatino Linotype" w:eastAsia="Times New Roman" w:hAnsi="Palatino Linotype" w:cs="Times New Roman"/>
          <w:kern w:val="0"/>
          <w:sz w:val="20"/>
          <w:szCs w:val="20"/>
          <w:lang w:eastAsia="en-ID"/>
          <w14:ligatures w14:val="none"/>
        </w:rPr>
        <w:t xml:space="preserve"> (2023).</w:t>
      </w:r>
      <w:r w:rsidRPr="00CC5741">
        <w:rPr>
          <w:rFonts w:ascii="Palatino Linotype" w:hAnsi="Palatino Linotype"/>
          <w:sz w:val="20"/>
          <w:szCs w:val="20"/>
        </w:rPr>
        <w:t xml:space="preserve"> </w:t>
      </w:r>
    </w:p>
  </w:footnote>
  <w:footnote w:id="2">
    <w:p w14:paraId="004DE79E" w14:textId="46E95997" w:rsidR="00F05919" w:rsidRPr="00CC5741" w:rsidRDefault="00F05919" w:rsidP="00F05919">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{"citationItems":[{"id":"ITEM-1","itemData":{"DOI":"10.29300/jpkth.v7i1.1584","ISSN":"2502-5384","abstract":"Pengaruh Ibnu Rusyd tidak secara langsung tetapi melalui murid-muridnya dari Eropa yang belajar di Spanyol dan mereka ini dikenal dengan Averoissme. Averoissme memiliki pandangan tertentu tentang hubungan Bahasa Falsafat dan Bahasa Agama dan pandangan ini berakar pada pemikiran Ibnu Rusyd. pemikiran Ibn Rusyd berkembang menjadi suatu gerakan Averroisme yang pengaruhnya ke Barat lebih besar dibandingkan filosof-filosof musim lainnya. Ibn Rusyd-lah merupakan tokoh yang paling populer dan dianggap paling berjasa dalam membuka mata peradaban Barat. Oleh karena itu mengkaji dan mempelajari perjalanan hidup dan pemikiran filosof Ibnu Rusydi sangat menarik.","author":[{"dropping-particle":"","family":"Fitrianah","given":"Rossi Delta","non-dropping-particle":"","parse-names":false,"suffix":""}],"container-title":"EL-AFKAR : Jurnal Pemikiran Keislaman dan Tafsir Hadis","id":"ITEM-1","issue":"1","issued":{"date-parts":[["2018"]]},"page":"15","title":"Ibnu Rusyd (Averroisme) Dan Pengaruhnya Dibarat","type":"article-journal","volume":"7"},"uris":["http://www.mendeley.com/documents/?uuid=bc8c264c-121a-49fc-b6e3-7c19477fc1a3"]}],"mendeley":{"formattedCitation":"Rossi Delta Fitrianah, “Ibnu Rusyd (Averroisme) Dan Pengaruhnya Dibarat,” &lt;i&gt;EL-AFKAR</w:instrText>
      </w:r>
      <w:r w:rsidR="00CC5741" w:rsidRPr="00CC5741">
        <w:rPr>
          <w:rFonts w:ascii="Arial" w:hAnsi="Arial" w:cs="Arial"/>
        </w:rPr>
        <w:instrText> </w:instrText>
      </w:r>
      <w:r w:rsidR="00CC5741" w:rsidRPr="00CC5741">
        <w:rPr>
          <w:rFonts w:ascii="Palatino Linotype" w:hAnsi="Palatino Linotype" w:cstheme="majorBidi"/>
        </w:rPr>
        <w:instrText xml:space="preserve">: Jurnal Pemikiran Keislaman dan Tafsir Hadis&lt;/i&gt; 7, no. 1 (2018): 15.","plainTextFormattedCitation":"Rossi Delta Fitrianah, </w:instrText>
      </w:r>
      <w:r w:rsidR="00CC5741" w:rsidRPr="00CC5741">
        <w:rPr>
          <w:rFonts w:ascii="Palatino Linotype" w:hAnsi="Palatino Linotype" w:cs="Palatino Linotype"/>
        </w:rPr>
        <w:instrText>“</w:instrText>
      </w:r>
      <w:r w:rsidR="00CC5741" w:rsidRPr="00CC5741">
        <w:rPr>
          <w:rFonts w:ascii="Palatino Linotype" w:hAnsi="Palatino Linotype" w:cstheme="majorBidi"/>
        </w:rPr>
        <w:instrText>Ibnu Rusyd (Averroisme) Dan Pengaruhnya Dibarat,” EL-AFKAR</w:instrText>
      </w:r>
      <w:r w:rsidR="00CC5741" w:rsidRPr="00CC5741">
        <w:rPr>
          <w:rFonts w:ascii="Arial" w:hAnsi="Arial" w:cs="Arial"/>
        </w:rPr>
        <w:instrText> </w:instrText>
      </w:r>
      <w:r w:rsidR="00CC5741" w:rsidRPr="00CC5741">
        <w:rPr>
          <w:rFonts w:ascii="Palatino Linotype" w:hAnsi="Palatino Linotype" w:cstheme="majorBidi"/>
        </w:rPr>
        <w:instrText xml:space="preserve">: Jurnal Pemikiran Keislaman dan Tafsir Hadis 7, no. 1 (2018): 15.","previouslyFormattedCitation":"Rossi Delta Fitrianah, </w:instrText>
      </w:r>
      <w:r w:rsidR="00CC5741" w:rsidRPr="00CC5741">
        <w:rPr>
          <w:rFonts w:ascii="Palatino Linotype" w:hAnsi="Palatino Linotype" w:cs="Palatino Linotype"/>
        </w:rPr>
        <w:instrText>“</w:instrText>
      </w:r>
      <w:r w:rsidR="00CC5741" w:rsidRPr="00CC5741">
        <w:rPr>
          <w:rFonts w:ascii="Palatino Linotype" w:hAnsi="Palatino Linotype" w:cstheme="majorBidi"/>
        </w:rPr>
        <w:instrText>Ibnu Rusyd (Averroisme) Dan Pengaruhnya Dibarat,</w:instrText>
      </w:r>
      <w:r w:rsidR="00CC5741" w:rsidRPr="00CC5741">
        <w:rPr>
          <w:rFonts w:ascii="Palatino Linotype" w:hAnsi="Palatino Linotype" w:cs="Palatino Linotype"/>
        </w:rPr>
        <w:instrText>”</w:instrText>
      </w:r>
      <w:r w:rsidR="00CC5741" w:rsidRPr="00CC5741">
        <w:rPr>
          <w:rFonts w:ascii="Palatino Linotype" w:hAnsi="Palatino Linotype" w:cstheme="majorBidi"/>
        </w:rPr>
        <w:instrText xml:space="preserve"> &lt;i&gt;EL-AFKAR</w:instrText>
      </w:r>
      <w:r w:rsidR="00CC5741" w:rsidRPr="00CC5741">
        <w:rPr>
          <w:rFonts w:ascii="Arial" w:hAnsi="Arial" w:cs="Arial"/>
        </w:rPr>
        <w:instrText> </w:instrText>
      </w:r>
      <w:r w:rsidR="00CC5741" w:rsidRPr="00CC5741">
        <w:rPr>
          <w:rFonts w:ascii="Palatino Linotype" w:hAnsi="Palatino Linotype" w:cstheme="majorBidi"/>
        </w:rPr>
        <w:instrText>: Jurnal Pemikiran Keislaman dan Tafsir Hadis&lt;/i&gt; 7, no. 1 (2018): 15."},"properties":{"noteIndex":2},"schema":"https://github.com/citation-style-language/schema/raw/master/csl-citation.json"}</w:instrText>
      </w:r>
      <w:r w:rsidRPr="00CC5741">
        <w:rPr>
          <w:rFonts w:ascii="Palatino Linotype" w:hAnsi="Palatino Linotype" w:cstheme="majorBidi"/>
        </w:rPr>
        <w:fldChar w:fldCharType="separate"/>
      </w:r>
      <w:r w:rsidRPr="00CC5741">
        <w:rPr>
          <w:rFonts w:ascii="Palatino Linotype" w:hAnsi="Palatino Linotype" w:cstheme="majorBidi"/>
          <w:noProof/>
        </w:rPr>
        <w:t xml:space="preserve">Rossi Delta Fitrianah, “Ibnu Rusyd (Averroisme) Dan Pengaruhnya Dibarat,” </w:t>
      </w:r>
      <w:r w:rsidRPr="00CC5741">
        <w:rPr>
          <w:rFonts w:ascii="Palatino Linotype" w:hAnsi="Palatino Linotype" w:cstheme="majorBidi"/>
          <w:i/>
          <w:noProof/>
        </w:rPr>
        <w:t>EL-AFKAR</w:t>
      </w:r>
      <w:r w:rsidRPr="00CC5741">
        <w:rPr>
          <w:rFonts w:ascii="Arial" w:hAnsi="Arial" w:cs="Arial"/>
          <w:i/>
          <w:noProof/>
        </w:rPr>
        <w:t> </w:t>
      </w:r>
      <w:r w:rsidRPr="00CC5741">
        <w:rPr>
          <w:rFonts w:ascii="Palatino Linotype" w:hAnsi="Palatino Linotype" w:cstheme="majorBidi"/>
          <w:i/>
          <w:noProof/>
        </w:rPr>
        <w:t>: Jurnal Pemikiran Keislaman dan Tafsir Hadis</w:t>
      </w:r>
      <w:r w:rsidRPr="00CC5741">
        <w:rPr>
          <w:rFonts w:ascii="Palatino Linotype" w:hAnsi="Palatino Linotype" w:cstheme="majorBidi"/>
          <w:noProof/>
        </w:rPr>
        <w:t xml:space="preserve"> 7, no. 1 (2018): 15.</w:t>
      </w:r>
      <w:r w:rsidRPr="00CC5741">
        <w:rPr>
          <w:rFonts w:ascii="Palatino Linotype" w:hAnsi="Palatino Linotype" w:cstheme="majorBidi"/>
        </w:rPr>
        <w:fldChar w:fldCharType="end"/>
      </w:r>
    </w:p>
  </w:footnote>
  <w:footnote w:id="3">
    <w:p w14:paraId="21203799" w14:textId="68E105F4" w:rsidR="00CC206C" w:rsidRPr="00CC5741" w:rsidRDefault="00CC206C" w:rsidP="00CC206C">
      <w:pPr>
        <w:pStyle w:val="FootnoteText"/>
        <w:ind w:firstLine="720"/>
        <w:rPr>
          <w:rFonts w:ascii="Palatino Linotype" w:hAnsi="Palatino Linotype"/>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{"citationItems":[{"id":"ITEM-1","itemData":{"author":[{"dropping-particle":"","family":"Sunan","given":"U I N","non-dropping-particle":"","parse-names":false,"suffix":""},{"dropping-particle":"","family":"Yogyakarta","given":"Kalijaga","non-dropping-particle":"","parse-names":false,"suffix":""}],"id":"ITEM-1","issued":{"date-parts":[["2021"]]},"page":"128-140","title":"Pemikiran ibnu rusyd tentang pendidikan dan relevansinya di era kontemporer","type":"article-journal"},"uris":["http://www.mendeley.com/documents/?uuid=62e428ac-383e-4444-822f-a82eecc0b645"]}],"mendeley":{"formattedCitation":"U I N Sunan and Kalijaga Yogyakarta, “Pemikiran Ibnu Rusyd Tentang Pendidikan Dan Relevansinya Di Era Kontemporer” (2021): 128–140.","plainTextFormattedCitation":"U I N Sunan and Kalijaga Yogyakarta, “Pemikiran Ibnu Rusyd Tentang Pendidikan Dan Relevansinya Di Era Kontemporer” (2021): 128–140.","previouslyFormattedCitation":"U I N Sunan and Kalijaga Yogyakarta, “Pemikiran Ibnu Rusyd Tentang Pendidikan Dan Relevansinya Di Era Kontemporer” (2021): 128–140."},"properties":{"noteIndex":3},"schema":"https://github.com/citation-style-language/schema/raw/master/csl-citation.json"}</w:instrText>
      </w:r>
      <w:r w:rsidRPr="00CC5741">
        <w:rPr>
          <w:rFonts w:ascii="Palatino Linotype" w:hAnsi="Palatino Linotype" w:cstheme="majorBidi"/>
        </w:rPr>
        <w:fldChar w:fldCharType="separate"/>
      </w:r>
      <w:r w:rsidRPr="00CC5741">
        <w:rPr>
          <w:rFonts w:ascii="Palatino Linotype" w:hAnsi="Palatino Linotype" w:cstheme="majorBidi"/>
          <w:noProof/>
        </w:rPr>
        <w:t>U I N Sunan and Kalijaga Yogyakarta, “Pemikiran Ibnu Rusyd Tentang Pendidikan Dan Relevansinya Di Era Kontemporer” (2021): 128–140.</w:t>
      </w:r>
      <w:r w:rsidRPr="00CC5741">
        <w:rPr>
          <w:rFonts w:ascii="Palatino Linotype" w:hAnsi="Palatino Linotype" w:cstheme="majorBidi"/>
        </w:rPr>
        <w:fldChar w:fldCharType="end"/>
      </w:r>
    </w:p>
  </w:footnote>
  <w:footnote w:id="4">
    <w:p w14:paraId="30675AFF" w14:textId="773A9876" w:rsidR="000C2E43" w:rsidRPr="00CC5741" w:rsidRDefault="000C2E43" w:rsidP="000C2E43">
      <w:pPr>
        <w:ind w:firstLine="720"/>
        <w:rPr>
          <w:rFonts w:ascii="Palatino Linotype" w:eastAsia="Times New Roman" w:hAnsi="Palatino Linotype" w:cs="Times New Roman"/>
          <w:kern w:val="0"/>
          <w:sz w:val="20"/>
          <w:szCs w:val="20"/>
          <w:lang w:eastAsia="en-ID"/>
          <w14:ligatures w14:val="none"/>
        </w:rPr>
      </w:pPr>
      <w:r w:rsidRPr="00CC5741">
        <w:rPr>
          <w:rStyle w:val="FootnoteReference"/>
          <w:rFonts w:ascii="Palatino Linotype" w:hAnsi="Palatino Linotype"/>
          <w:sz w:val="20"/>
          <w:szCs w:val="20"/>
        </w:rPr>
        <w:footnoteRef/>
      </w:r>
      <w:r w:rsidRPr="00CC5741">
        <w:rPr>
          <w:rFonts w:ascii="Palatino Linotype" w:eastAsia="Times New Roman" w:hAnsi="Palatino Linotype" w:cs="Times New Roman"/>
          <w:kern w:val="0"/>
          <w:sz w:val="20"/>
          <w:szCs w:val="20"/>
          <w:lang w:eastAsia="en-ID"/>
          <w14:ligatures w14:val="none"/>
        </w:rPr>
        <w:t>Ali, Nurbayani. "Eksistensi Agama, Ilmu Dan Filsafat Dalam Mengatasi Persoalan Pendidikan."</w:t>
      </w:r>
    </w:p>
  </w:footnote>
  <w:footnote w:id="5">
    <w:p w14:paraId="2E7E79BC" w14:textId="74333A17" w:rsidR="004F623F" w:rsidRPr="00CC5741" w:rsidRDefault="004F623F" w:rsidP="004F623F">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4978FF" w:rsidRPr="00CC5741">
        <w:rPr>
          <w:rFonts w:ascii="Palatino Linotype" w:hAnsi="Palatino Linotype" w:cstheme="majorBidi"/>
        </w:rPr>
        <w:instrText>ADDIN CSL_CITATION {"citationItems":[{"id":"ITEM-1","itemData":{"DOI":"10.21111/tsaqafah.v5i2.134","ISSN":"1411-0334","author":[{"dropping-particle":"","family":"Saleh","given":"Sujiat Zubaidi","non-dropping-particle":"","parse-names":false,"suffix":""}],"container-title":"Tsaqafah","id":"ITEM-1","issue":"2","issued":{"date-parts":[["2009"]]},"page":"405","title":"Qadiyyah Tawassu’ al-‘Alam Bayna Abi Hamid al-Ghazali wa Ibn Rusyd al-Qurtubi","type":"article-journal","volume":"5"},"uris":["http://www.mendeley.com/documents/?uuid=34251a91-0632-4b2c-863f-2177cf3c1309"]}],"mendeley":{"formattedCitation":"Sujiat Zubaidi Saleh, “Qadiyyah Tawassu’ Al-‘Alam Bayna Abi Hamid Al-Ghazali Wa Ibn Rusyd Al-Qurtubi,” &lt;i&gt;Tsaqafah&lt;/i&gt; 5, no. 2 (2009): 405.","plainTextFormattedCitation":"Sujiat Zubaidi Saleh, “Qadiyyah Tawassu’ Al-‘Alam Bayna Abi Hamid Al-Ghazali Wa Ibn Rusyd Al-Qurtubi,” Tsaqafah 5, no. 2 (2009): 405.","previouslyFormattedCitation":"Sujiat Zubaidi Saleh, “Qadiyyah Tawassu’ Al-‘Alam Bayna Abi Hamid Al-Ghazali Wa Ibn Rusyd Al-Qurtubi,” &lt;i&gt;Tsaqafah&lt;/i&gt; 5, no. 2 (2009): 405."},"properties":{"noteIndex":5},"schema":"https://github.com/citation-style-language/schema/raw/master/csl-citation.json"}</w:instrText>
      </w:r>
      <w:r w:rsidRPr="00CC5741">
        <w:rPr>
          <w:rFonts w:ascii="Palatino Linotype" w:hAnsi="Palatino Linotype" w:cstheme="majorBidi"/>
        </w:rPr>
        <w:fldChar w:fldCharType="separate"/>
      </w:r>
      <w:r w:rsidRPr="00CC5741">
        <w:rPr>
          <w:rFonts w:ascii="Palatino Linotype" w:hAnsi="Palatino Linotype" w:cstheme="majorBidi"/>
          <w:noProof/>
        </w:rPr>
        <w:t xml:space="preserve">Sujiat Zubaidi Saleh, “Qadiyyah Tawassu’ Al-‘Alam Bayna Abi Hamid Al-Ghazali Wa Ibn Rusyd Al-Qurtubi,” </w:t>
      </w:r>
      <w:r w:rsidRPr="00CC5741">
        <w:rPr>
          <w:rFonts w:ascii="Palatino Linotype" w:hAnsi="Palatino Linotype" w:cstheme="majorBidi"/>
          <w:i/>
          <w:noProof/>
        </w:rPr>
        <w:t>Tsaqafah</w:t>
      </w:r>
      <w:r w:rsidRPr="00CC5741">
        <w:rPr>
          <w:rFonts w:ascii="Palatino Linotype" w:hAnsi="Palatino Linotype" w:cstheme="majorBidi"/>
          <w:noProof/>
        </w:rPr>
        <w:t xml:space="preserve"> 5, no. 2 (2009): 405.</w:t>
      </w:r>
      <w:r w:rsidRPr="00CC5741">
        <w:rPr>
          <w:rFonts w:ascii="Palatino Linotype" w:hAnsi="Palatino Linotype" w:cstheme="majorBidi"/>
        </w:rPr>
        <w:fldChar w:fldCharType="end"/>
      </w:r>
    </w:p>
  </w:footnote>
  <w:footnote w:id="6">
    <w:p w14:paraId="4D06EC25" w14:textId="365B2A9C" w:rsidR="004F623F" w:rsidRPr="00CC5741" w:rsidRDefault="004F623F" w:rsidP="004F623F">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4978FF" w:rsidRPr="00CC5741">
        <w:rPr>
          <w:rFonts w:ascii="Palatino Linotype" w:hAnsi="Palatino Linotype" w:cstheme="majorBidi"/>
        </w:rPr>
        <w:instrText>ADDIN CSL_CITATION {"citationItems":[{"id":"ITEM-1","itemData":{"abstract":"Pandangan manusia tentang alam mempunyai sejarahnya yang panjang. Bentuk dan isinya berkembang mulai dari mitos (kosmogoni), pandangan filosofis, doktrin penciptaan dari agama, hingga penjelasan melalui jalan ilmiah yang disebut sains. Tulisan ini mencoba mendeskripsikan perkembangan mutakhir dalam bidang kosmologi yang didasarkan pada teori dan sistem komputer. Anggapan dasar para ilmuwan komputer atau cyberis tentang alam semesta adalah bahwa alam semesta adalah komputer dan dapat disimulasikan hukum-hukumnya dalam komputer. Pandangan kosmologinya dibangun berdasarkan kesamaan alam semesta dengan komputer. Alam semesta dipandang hanyalah terdiri dari lalu lintas bit-bit informasi yang saling terhubung. Atom semesta adalah bit, sedangkan materi adalah bit-bit informasi yang bergerak berdasarkan proses komputasi. Hukum alam adalah algoritma. Maka, susunan dan hukum-hukum yang berlaku dialam semesta berlaku juga bagi komputer. Dengan kata lain, dari susunan dan hukum-hukum yang berlaku di komputer bisa diterapkan atau dipakai untuk menjelaskan alam semesta. Kata Kunci : alam, kosmologi, algoritma, komputas","author":[{"dropping-particle":"","family":"Hasanah","given":"Umdatul","non-dropping-particle":"","parse-names":false,"suffix":""}],"container-title":"Al-Fath","id":"ITEM-1","issue":"01","issued":{"date-parts":[["2008"]]},"page":"01-10","title":"Filsafat dan Agama Menurut Ibn Rusyd","type":"article-journal","volume":"02"},"uris":["http://www.mendeley.com/documents/?uuid=2e9f5082-4505-4eb6-aee0-2c38004c9bd0"]}],"mendeley":{"formattedCitation":"Umdatul Hasanah, “Filsafat Dan Agama Menurut Ibn Rusyd,” &lt;i&gt;Al-Fath&lt;/i&gt; 02, no. 01 (2008): 01–10.","manualFormatting":"Ibid.","plainTextFormattedCitation":"Umdatul Hasanah, “Filsafat Dan Agama Menurut Ibn Rusyd,” Al-Fath 02, no. 01 (2008): 01–10.","previouslyFormattedCitation":"Umdatul Hasanah, “Filsafat Dan Agama Menurut Ibn Rusyd,” &lt;i&gt;Al-Fath&lt;/i&gt; 02, no. 01 (2008): 01–10."},"properties":{"noteIndex":6},"schema":"https://github.com/citation-style-language/schema/raw/master/csl-citation.json"}</w:instrText>
      </w:r>
      <w:r w:rsidRPr="00CC5741">
        <w:rPr>
          <w:rFonts w:ascii="Palatino Linotype" w:hAnsi="Palatino Linotype" w:cstheme="majorBidi"/>
        </w:rPr>
        <w:fldChar w:fldCharType="separate"/>
      </w:r>
      <w:r w:rsidRPr="00CC5741">
        <w:rPr>
          <w:rFonts w:ascii="Palatino Linotype" w:hAnsi="Palatino Linotype" w:cstheme="majorBidi"/>
          <w:noProof/>
        </w:rPr>
        <w:fldChar w:fldCharType="begin" w:fldLock="1"/>
      </w:r>
      <w:r w:rsidR="004978FF" w:rsidRPr="00CC5741">
        <w:rPr>
          <w:rFonts w:ascii="Palatino Linotype" w:hAnsi="Palatino Linotype" w:cstheme="majorBidi"/>
          <w:noProof/>
        </w:rPr>
        <w:instrText>ADDIN CSL_CITATION {"citationItems":[{"id":"ITEM-1","itemData":{"abstract":"Pandangan manusia tentang alam mempunyai sejarahnya yang panjang. Bentuk dan isinya berkembang mulai dari mitos (kosmogoni), pandangan filosofis, doktrin penciptaan dari agama, hingga penjelasan melalui jalan ilmiah yang disebut sains. Tulisan ini mencoba mendeskripsikan perkembangan mutakhir dalam bidang kosmologi yang didasarkan pada teori dan sistem komputer. Anggapan dasar para ilmuwan komputer atau cyberis tentang alam semesta adalah bahwa alam semesta adalah komputer dan dapat disimulasikan hukum-hukumnya dalam komputer. Pandangan kosmologinya dibangun berdasarkan kesamaan alam semesta dengan komputer. Alam semesta dipandang hanyalah terdiri dari lalu lintas bit-bit informasi yang saling terhubung. Atom semesta adalah bit, sedangkan materi adalah bit-bit informasi yang bergerak berdasarkan proses komputasi. Hukum alam adalah algoritma. Maka, susunan dan hukum-hukum yang berlaku dialam semesta berlaku juga bagi komputer. Dengan kata lain, dari susunan dan hukum-hukum yang berlaku di komputer bisa diterapkan atau dipakai untuk menjelaskan alam semesta. Kata Kunci : alam, kosmologi, algoritma, komputas","author":[{"dropping-particle":"","family":"Hasanah","given":"Umdatul","non-dropping-particle":"","parse-names":false,"suffix":""}],"container-title":"Al-Fath","id":"ITEM-1","issue":"01","issued":{"date-parts":[["2008"]]},"page":"01-10","title":"Filsafat dan Agama Menurut Ibn Rusyd","type":"article-journal","volume":"02"},"uris":["http://www.mendeley.com/documents/?uuid=2e9f5082-4505-4eb6-aee0-2c38004c9bd0"]}],"mendeley":{"formattedCitation":"Ibid.","plainTextFormattedCitation":"Ibid.","previouslyFormattedCitation":"Ibid."},"properties":{"noteIndex":6},"schema":"https://github.com/citation-style-language/schema/raw/master/csl-citation.json"}</w:instrText>
      </w:r>
      <w:r w:rsidRPr="00CC5741">
        <w:rPr>
          <w:rFonts w:ascii="Palatino Linotype" w:hAnsi="Palatino Linotype" w:cstheme="majorBidi"/>
          <w:noProof/>
        </w:rPr>
        <w:fldChar w:fldCharType="separate"/>
      </w:r>
      <w:r w:rsidR="00F66E24" w:rsidRPr="00CC5741">
        <w:rPr>
          <w:rFonts w:ascii="Palatino Linotype" w:hAnsi="Palatino Linotype" w:cstheme="majorBidi"/>
          <w:noProof/>
        </w:rPr>
        <w:t>Ibid.</w:t>
      </w:r>
      <w:r w:rsidRPr="00CC5741">
        <w:rPr>
          <w:rFonts w:ascii="Palatino Linotype" w:hAnsi="Palatino Linotype" w:cstheme="majorBidi"/>
          <w:noProof/>
        </w:rPr>
        <w:fldChar w:fldCharType="end"/>
      </w:r>
      <w:r w:rsidRPr="00CC5741">
        <w:rPr>
          <w:rFonts w:ascii="Palatino Linotype" w:hAnsi="Palatino Linotype" w:cstheme="majorBidi"/>
        </w:rPr>
        <w:fldChar w:fldCharType="end"/>
      </w:r>
      <w:r w:rsidRPr="00CC5741">
        <w:rPr>
          <w:rFonts w:ascii="Palatino Linotype" w:hAnsi="Palatino Linotype" w:cstheme="majorBidi"/>
          <w:lang w:val="en-US"/>
        </w:rPr>
        <w:t xml:space="preserve"> </w:t>
      </w:r>
    </w:p>
  </w:footnote>
  <w:footnote w:id="7">
    <w:p w14:paraId="653FC065" w14:textId="7055810B" w:rsidR="00F05919" w:rsidRPr="00CC5741" w:rsidRDefault="00F05919" w:rsidP="00F05919">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{"citationItems":[{"id":"ITEM-1","itemData":{"ISSN":"2580-5304","abstract":"This study discusses the theory and thought of Ibn Taimiyah's classical Muslim intellectual education. All of Ibn Taimiyah's thoughts in the field of education are built on clear information as contained in the Qur'an and as-Sunnah through deep understanding. His thinking in the field of education was a response to various problems faced by Islamic society at that time which demanded strategic solutions through education. Among his educational thoughts are the philosophy of education, educational goals, curriculum, methods, language of instruction in teaching, as well as teacher and student ethics.","author":[{"dropping-particle":"","family":"Jawawi","given":"Abdullah","non-dropping-particle":"","parse-names":false,"suffix":""}],"container-title":"Iqra: Jurnal Pendidikan Agama Islam","id":"ITEM-1","issue":"1","issued":{"date-parts":[["2021"]]},"page":"34-42","title":"Konsep Pendidikan Ibnu Taimiyah","type":"article-journal","volume":"1"},"uris":["http://www.mendeley.com/documents/?uuid=a1f8dbaa-2013-46de-8d34-1783c9bd4a79"]}],"mendeley":{"formattedCitation":"Abdullah Jawawi, “Konsep Pendidikan Ibnu Taimiyah,” &lt;i&gt;Iqra: Jurnal Pendidikan Agama Islam&lt;/i&gt; 1, no. 1 (2021): 34–42.","plainTextFormattedCitation":"Abdullah Jawawi, “Konsep Pendidikan Ibnu Taimiyah,” Iqra: Jurnal Pendidikan Agama Islam 1, no. 1 (2021): 34–42.","previouslyFormattedCitation":"Abdullah Jawawi, “Konsep Pendidikan Ibnu Taimiyah,” &lt;i&gt;Iqra: Jurnal Pendidikan Agama Islam&lt;/i&gt; 1, no. 1 (2021): 34–42."},"properties":{"noteIndex":7},"schema":"https://github.com/citation-style-language/schema/raw/master/csl-citation.json"}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 xml:space="preserve">Abdullah Jawawi, “Konsep Pendidikan Ibnu Taimiyah,” </w:t>
      </w:r>
      <w:r w:rsidRPr="00CC5741">
        <w:rPr>
          <w:rFonts w:ascii="Palatino Linotype" w:hAnsi="Palatino Linotype"/>
          <w:i/>
          <w:noProof/>
        </w:rPr>
        <w:t>Iqra: Jurnal Pendidikan Agama Islam</w:t>
      </w:r>
      <w:r w:rsidRPr="00CC5741">
        <w:rPr>
          <w:rFonts w:ascii="Palatino Linotype" w:hAnsi="Palatino Linotype"/>
          <w:noProof/>
        </w:rPr>
        <w:t xml:space="preserve"> 1, no. 1 (2021): 34–42.</w:t>
      </w:r>
      <w:r w:rsidRPr="00CC5741">
        <w:rPr>
          <w:rFonts w:ascii="Palatino Linotype" w:hAnsi="Palatino Linotype"/>
        </w:rPr>
        <w:fldChar w:fldCharType="end"/>
      </w:r>
    </w:p>
  </w:footnote>
  <w:footnote w:id="8">
    <w:p w14:paraId="59C4E06B" w14:textId="47FAA6A2" w:rsidR="00F05919" w:rsidRPr="00CC5741" w:rsidRDefault="00F05919" w:rsidP="00F05919">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{"citationItems":[{"id":"ITEM-1","itemData":{"ISSN":"2580-5304","abstract":"This study discusses the theory and thought of Ibn Taimiyah's classical Muslim intellectual education. All of Ibn Taimiyah's thoughts in the field of education are built on clear information as contained in the Qur'an and as-Sunnah through deep understanding. His thinking in the field of education was a response to various problems faced by Islamic society at that time which demanded strategic solutions through education. Among his educational thoughts are the philosophy of education, educational goals, curriculum, methods, language of instruction in teaching, as well as teacher and student ethics.","author":[{"dropping-particle":"","family":"Jawawi","given":"Abdullah","non-dropping-particle":"","parse-names":false,"suffix":""}],"container-title":"Iqra: Jurnal Pendidikan Agama Islam","id":"ITEM-1","issue":"1","issued":{"date-parts":[["2021"]]},"page":"34-42","title":"Konsep Pendidikan Ibnu Taimiyah","type":"article-journal","volume":"1"},"uris":["http://www.mendeley.com/documents/?uuid=a1f8dbaa-2013-46de-8d34-1783c9bd4a79"]}],"mendeley":{"formattedCitation":"Ibid.","plainTextFormattedCitation":"Ibid.","previouslyFormattedCitation":"Ibid."},"properties":{"noteIndex":8},"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Ibid.</w:t>
      </w:r>
      <w:r w:rsidRPr="00CC5741">
        <w:rPr>
          <w:rFonts w:ascii="Palatino Linotype" w:hAnsi="Palatino Linotype"/>
        </w:rPr>
        <w:fldChar w:fldCharType="end"/>
      </w:r>
    </w:p>
  </w:footnote>
  <w:footnote w:id="9">
    <w:p w14:paraId="6FD34772" w14:textId="52CD52DD" w:rsidR="00716AFE" w:rsidRPr="00CC5741" w:rsidRDefault="00716AFE" w:rsidP="00716AFE">
      <w:pPr>
        <w:pStyle w:val="FootnoteText"/>
        <w:ind w:firstLine="720"/>
        <w:rPr>
          <w:rFonts w:ascii="Palatino Linotype" w:hAnsi="Palatino Linotype"/>
        </w:rPr>
      </w:pPr>
      <w:r w:rsidRPr="00CC5741">
        <w:rPr>
          <w:rStyle w:val="FootnoteReference"/>
          <w:rFonts w:ascii="Palatino Linotype" w:hAnsi="Palatino Linotype"/>
        </w:rPr>
        <w:footnoteRef/>
      </w:r>
      <w:r w:rsidRPr="00CC5741">
        <w:rPr>
          <w:rFonts w:ascii="Palatino Linotype" w:hAnsi="Palatino Linotype"/>
        </w:rPr>
        <w:t xml:space="preserve">Zulfi Imran, “Akal dan wahyu Menurut ibnu rusydi”, Al mufida Vol. I No. 1 Juli – Desember 2016. </w:t>
      </w:r>
    </w:p>
  </w:footnote>
  <w:footnote w:id="10">
    <w:p w14:paraId="06E5D454" w14:textId="2465BEFC" w:rsidR="00053669" w:rsidRPr="00CC5741" w:rsidRDefault="00053669" w:rsidP="00053669">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{"citationItems":[{"id":"ITEM-1","itemData":{"abstract":"Pandangan manusia tentang alam mempunyai sejarahnya yang panjang. Bentuk dan isinya berkembang mulai dari mitos (kosmogoni), pandangan filosofis, doktrin penciptaan dari agama, hingga penjelasan melalui jalan ilmiah yang disebut sains. Tulisan ini mencoba mendeskripsikan perkembangan mutakhir dalam bidang kosmologi yang didasarkan pada teori dan sistem komputer. Anggapan dasar para ilmuwan komputer atau cyberis tentang alam semesta adalah bahwa alam semesta adalah komputer dan dapat disimulasikan hukum-hukumnya dalam komputer. Pandangan kosmologinya dibangun berdasarkan kesamaan alam semesta dengan komputer. Alam semesta dipandang hanyalah terdiri dari lalu lintas bit-bit informasi yang saling terhubung. Atom semesta adalah bit, sedangkan materi adalah bit-bit informasi yang bergerak berdasarkan proses komputasi. Hukum alam adalah algoritma. Maka, susunan dan hukum-hukum yang berlaku dialam semesta berlaku juga bagi komputer. Dengan kata lain, dari susunan dan hukum-hukum yang berlaku di komputer bisa diterapkan atau dipakai untuk menjelaskan alam semesta. Kata Kunci : alam, kosmologi, algoritma, komputas","author":[{"dropping-particle":"","family":"Hasanah","given":"Umdatul","non-dropping-particle":"","parse-names":false,"suffix":""}],"container-title":"Al-Fath","id":"ITEM-1","issue":"01","issued":{"date-parts":[["2008"]]},"page":"01-10","title":"Filsafat dan Agama Menurut Ibn Rusyd","type":"article-journal","volume":"02"},"uris":["http://www.mendeley.com/documents/?uuid=2e9f5082-4505-4eb6-aee0-2c38004c9bd0"]}],"mendeley":{"formattedCitation":"Hasanah, “Filsafat Dan Agama Menurut Ibn Rusyd.”","plainTextFormattedCitation":"Hasanah, “Filsafat Dan Agama Menurut Ibn Rusyd.”","previouslyFormattedCitation":"Hasanah, “Filsafat Dan Agama Menurut Ibn Rusyd.”"},"properties":{"noteIndex":10},"schema":"https://github.com/citation-style-language/schema/raw/master/csl-citation.json"}</w:instrText>
      </w:r>
      <w:r w:rsidRPr="00CC5741">
        <w:rPr>
          <w:rFonts w:ascii="Palatino Linotype" w:hAnsi="Palatino Linotype" w:cstheme="majorBidi"/>
        </w:rPr>
        <w:fldChar w:fldCharType="separate"/>
      </w:r>
      <w:r w:rsidR="00506A31" w:rsidRPr="00CC5741">
        <w:rPr>
          <w:rFonts w:ascii="Palatino Linotype" w:hAnsi="Palatino Linotype" w:cstheme="majorBidi"/>
          <w:noProof/>
        </w:rPr>
        <w:t>Hasanah, “Filsafat Dan Agama Menurut Ibn Rusyd.”</w:t>
      </w:r>
      <w:r w:rsidRPr="00CC5741">
        <w:rPr>
          <w:rFonts w:ascii="Palatino Linotype" w:hAnsi="Palatino Linotype" w:cstheme="majorBidi"/>
        </w:rPr>
        <w:fldChar w:fldCharType="end"/>
      </w:r>
    </w:p>
  </w:footnote>
  <w:footnote w:id="11">
    <w:p w14:paraId="3A0F43E0" w14:textId="47BD86B8" w:rsidR="00053669" w:rsidRPr="00CC5741" w:rsidRDefault="00053669" w:rsidP="00053669">
      <w:pPr>
        <w:pStyle w:val="FootnoteText"/>
        <w:ind w:firstLine="720"/>
        <w:rPr>
          <w:rFonts w:ascii="Palatino Linotype" w:hAnsi="Palatino Linotype"/>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00506A31"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{"citationItems":[{"id":"ITEM-1","itemData":{"author":[{"dropping-particle":"","family":"Khaerul Umam Junaid, Sulfitriani","given":"Sri Rahayu","non-dropping-particle":"","parse-names":false,"suffix":""}],"id":"ITEM-1","issue":"01","issued":{"date-parts":[["2023"]]},"title":"Agama dan filsafat","type":"article-journal","volume":"02"},"uris":["http://www.mendeley.com/documents/?uuid=9d019871-016d-46db-8253-23f8097190be"]}],"mendeley":{"formattedCitation":"Sri Rahayu Khaerul Umam Junaid, Sulfitriani, “Agama Dan Filsafat” 02, no. 01 (2023).","plainTextFormattedCitation":"Sri Rahayu Khaerul Umam Junaid, Sulfitriani, “Agama Dan Filsafat” 02, no. 01 (2023).","previouslyFormattedCitation":"Sri Rahayu Khaerul Umam Junaid, Sulfitriani, “Agama Dan Filsafat” 02, no. 01 (2023)."},"properties":{"noteIndex":11},"schema":"https://github.com/citation-style-language/schema/raw/master/csl-citation.json"}</w:instrText>
      </w:r>
      <w:r w:rsidR="00506A31" w:rsidRPr="00CC5741">
        <w:rPr>
          <w:rFonts w:ascii="Palatino Linotype" w:hAnsi="Palatino Linotype" w:cstheme="majorBidi"/>
        </w:rPr>
        <w:fldChar w:fldCharType="separate"/>
      </w:r>
      <w:r w:rsidR="00506A31" w:rsidRPr="00CC5741">
        <w:rPr>
          <w:rFonts w:ascii="Palatino Linotype" w:hAnsi="Palatino Linotype" w:cstheme="majorBidi"/>
          <w:noProof/>
        </w:rPr>
        <w:t>Sri Rahayu Khaerul Umam Junaid, Sulfitriani, “Agama Dan Filsafat” 02, no. 01 (2023).</w:t>
      </w:r>
      <w:r w:rsidR="00506A31" w:rsidRPr="00CC5741">
        <w:rPr>
          <w:rFonts w:ascii="Palatino Linotype" w:hAnsi="Palatino Linotype" w:cstheme="majorBidi"/>
        </w:rPr>
        <w:fldChar w:fldCharType="end"/>
      </w:r>
    </w:p>
  </w:footnote>
  <w:footnote w:id="12">
    <w:p w14:paraId="0295FD26" w14:textId="587CFD89" w:rsidR="00901638" w:rsidRPr="00CC5741" w:rsidRDefault="00901638" w:rsidP="00CC5741">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{"citationItems":[{"id":"ITEM-1","itemData":{"abstract":"… Seandainya kebenaran agama (wahyu) itu tidak diketahui oleh akal, namun … akal sebagai asas bagi wahyu atau dalil bagi kebenarannya. Baginya, asas kesahihan agama (wahyu) …","author":[{"dropping-particle":"","family":"Muhammad Miqdam Makfi","given":"","non-dropping-particle":"","parse-names":false,"suffix":""}],"container-title":"Prosiding Konferensi Integrasi Interkoneksi Islam dan Sains","id":"ITEM-1","issued":{"date-parts":[["2022"]]},"page":"333-339","title":"Relasi Agama Dan Sains Dalam Pemikiran Teologi Ibn Taymiyyah; Studi Kritis Buku Daru Ta'Arrudl Al-'Aql Wa Al-Naql","type":"article-journal","volume":"4"},"uris":["http://www.mendeley.com/documents/?uuid=48d4ca06-c9d6-4de9-b723-0d72cfba2a70"]}],"mendeley":{"formattedCitation":"Muhammad Miqdam Makfi, “Relasi Agama Dan Sains Dalam Pemikiran Teologi Ibn Taymiyyah; Studi Kritis Buku Daru Ta’Arrudl Al-’Aql Wa Al-Naql,” &lt;i&gt;Prosiding Konferensi Integrasi Interkoneksi Islam dan Sains&lt;/i&gt; 4 (2022): 333–339.","plainTextFormattedCitation":"Muhammad Miqdam Makfi, “Relasi Agama Dan Sains Dalam Pemikiran Teologi Ibn Taymiyyah; Studi Kritis Buku Daru Ta’Arrudl Al-’Aql Wa Al-Naql,” Prosiding Konferensi Integrasi Interkoneksi Islam dan Sains 4 (2022): 333–339.","previouslyFormattedCitation":"Muhammad Miqdam Makfi, “Relasi Agama Dan Sains Dalam Pemikiran Teologi Ibn Taymiyyah; Studi Kritis Buku Daru Ta’Arrudl Al-’Aql Wa Al-Naql,” &lt;i&gt;Prosiding Konferensi Integrasi Interkoneksi Islam dan Sains&lt;/i&gt; 4 (2022): 333–339."},"properties":{"noteIndex":12},"schema":"https://github.com/citation-style-language/schema/raw/master/csl-citation.json"}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 xml:space="preserve">Muhammad Miqdam Makfi, “Relasi Agama Dan Sains Dalam Pemikiran Teologi Ibn Taymiyyah; Studi Kritis Buku Daru Ta’Arrudl Al-’Aql Wa Al-Naql,” </w:t>
      </w:r>
      <w:r w:rsidRPr="00CC5741">
        <w:rPr>
          <w:rFonts w:ascii="Palatino Linotype" w:hAnsi="Palatino Linotype"/>
          <w:i/>
          <w:noProof/>
        </w:rPr>
        <w:t>Prosiding Konferensi Integrasi Interkoneksi Islam dan Sains</w:t>
      </w:r>
      <w:r w:rsidRPr="00CC5741">
        <w:rPr>
          <w:rFonts w:ascii="Palatino Linotype" w:hAnsi="Palatino Linotype"/>
          <w:noProof/>
        </w:rPr>
        <w:t xml:space="preserve"> 4 (2022): 333–339.</w:t>
      </w:r>
      <w:r w:rsidRPr="00CC5741">
        <w:rPr>
          <w:rFonts w:ascii="Palatino Linotype" w:hAnsi="Palatino Linotype"/>
        </w:rPr>
        <w:fldChar w:fldCharType="end"/>
      </w:r>
    </w:p>
  </w:footnote>
  <w:footnote w:id="13">
    <w:p w14:paraId="4F1D3C86" w14:textId="341071EB" w:rsidR="00901638" w:rsidRPr="00CC5741" w:rsidRDefault="00901638" w:rsidP="00901638">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{"citationItems":[{"id":"ITEM-1","itemData":{"ISSN":"2089-7804","abstract":"Perkembangan pemikiran kalam di Indonesia mengindikasikan beberapa ide-ide rekonstruksi pemikiran Islam yang memiliki beberapa implikasi. Untuk memahami konstruksinya, makalah ini menunjukkan pergeseran paradigma pemikiran teologi Islam dari era klasik ke kontemporer. Pergeseran ini terjadi sejak pertumbuhan Khawarij yang membahas tentang dosa besar, orang beriman, surga, dan neraka. Sekarang, pemikiran teologis telah tumbuh dan masuk dalam berbagai paradigma ilmiah. Tema-tema ini juga sangat variasional, bahkan hal baru yang tidak ada artinya sebelumnya. Jenis pemikiran dapat dibagi dalam keempat jenis yaitu ideologi Islam sebagai paradigma fundemental, neo-modernisme yang memiliki konsep terbuka terhadap studi Islam, rasionalism dalam Islam dan percabangannya, dan Islam Liberal yang disutradarai oleh para pemikir muslim muda, yang lahir setelah reformasi dalam transformasi politik Indonesia. Era ini disebut sebagai era reformasi dimana beberapa aktivis muslim muda pada kesempatan ini dapat mengekspresikan pemikiran dengan semangat pembebasan, dan dalam waktu yang sama konstruksi mereka dalam berpikir harus siap mendapat tanggapan dari aktivis fundamentalisme Islam radikal atau Islam di Indonesia. Pemikiran teologis kritis tidak memisahkan teori dan praktik, pengetahuan dan tindakan, rasionalitas teoretis dan rasionalitas praktis. Pikiran teologis kritis milik paradigma atau pandangan dunia baru adalah yang penting untuk era kontemporer. Pemikiran teologis kritis di Indonesia telah dinyatakan oleh para intelektual kritis seperti Harun Nasution, A. Hanafi, Nurcholis Majid, dan Abdurrahman Wahid. Paradigma teologi Islam kritis adalah pemikiran emansipatoris pada budaya dan masyarakat modern, misalnya kritik terhadap ekonomi, politik, dan struktur. Pikiran ini berawal dari reaksi sistem sosial yang tidak adil. Pikiran ini berawal dari titik penderitaan pada praksis. Tujuannya adalah untuk membangun struktur sosial yang membebaskan manusia dari setiap penindasan. Pemikiran teologis kritis tidak memisahkan teori dan praktik, pengetahuan dan tindakan, rasionalitas teoretis dan rasionalitas praktis. Pemikiran ini mencerminkan sesuatu yang secara kritis merupakan praktik dalam kehidupan sosial historis.","author":[{"dropping-particle":"","family":"Syamsuddin","given":"Mukhtasar","non-dropping-particle":"","parse-names":false,"suffix":""}],"container-title":"Arete","id":"ITEM-1","issue":"2","issued":{"date-parts":[["2013"]]},"page":"127-148","title":"Hubungan Wahyu Dan Akal Dalam Tradisi Filsafat Islam","type":"article-journal","volume":"1"},"uris":["http://www.mendeley.com/documents/?uuid=58dbeaf9-1f4d-49ff-9666-06415c93c1d1"]}],"mendeley":{"formattedCitation":"Mukhtasar Syamsuddin, “Hubungan Wahyu Dan Akal Dalam Tradisi Filsafat Islam,” &lt;i&gt;Arete&lt;/i&gt; 1, no. 2 (2013): 127–148, http://jurnal.wima.ac.id/index.php/ARETE/article/view/173.","plainTextFormattedCitation":"Mukhtasar Syamsuddin, “Hubungan Wahyu Dan Akal Dalam Tradisi Filsafat Islam,” Arete 1, no. 2 (2013): 127–148, http://jurnal.wima.ac.id/index.php/ARETE/article/view/173.","previouslyFormattedCitation":"Mukhtasar Syamsuddin, “Hubungan Wahyu Dan Akal Dalam Tradisi Filsafat Islam,” &lt;i&gt;Arete&lt;/i&gt; 1, no. 2 (2013): 127–148, http://jurnal.wima.ac.id/index.php/ARETE/article/view/173."},"properties":{"noteIndex":13},"schema":"https://github.com/citation-style-language/schema/raw/master/csl-citation.json"}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 xml:space="preserve">Mukhtasar Syamsuddin, “Hubungan Wahyu Dan Akal Dalam Tradisi Filsafat Islam,” </w:t>
      </w:r>
      <w:r w:rsidRPr="00CC5741">
        <w:rPr>
          <w:rFonts w:ascii="Palatino Linotype" w:hAnsi="Palatino Linotype"/>
          <w:i/>
          <w:noProof/>
        </w:rPr>
        <w:t>Arete</w:t>
      </w:r>
      <w:r w:rsidRPr="00CC5741">
        <w:rPr>
          <w:rFonts w:ascii="Palatino Linotype" w:hAnsi="Palatino Linotype"/>
          <w:noProof/>
        </w:rPr>
        <w:t xml:space="preserve"> 1, no. 2 (2013): 127–148, http://jurnal.wima.ac.id/index.php/ARETE/article/view/173.</w:t>
      </w:r>
      <w:r w:rsidRPr="00CC5741">
        <w:rPr>
          <w:rFonts w:ascii="Palatino Linotype" w:hAnsi="Palatino Linotype"/>
        </w:rPr>
        <w:fldChar w:fldCharType="end"/>
      </w:r>
    </w:p>
  </w:footnote>
  <w:footnote w:id="14">
    <w:p w14:paraId="2958B2A2" w14:textId="452E59DE" w:rsidR="00141233" w:rsidRPr="00CC5741" w:rsidRDefault="00141233" w:rsidP="00141233">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{"citationItems":[{"id":"ITEM-1","itemData":{"abstract":"This article aims to take a lesson and inspiration from of two Muslim thinkers al- Ghazālī and Ibn Rushd in their intellectual legacy in Islamic philosophy. The legacy of these two figures has an influence on the current development of Islamic thought and Islamic education until now. Its influence is not only in the Islamic world, but also in the Western world. One of the interesting issues in examining the thoughts between these two figures is the contradiction between philosophical aspect in the al-Ghazālī’s work in Tahāfut al-Falāsifah and Rushd’s work in Tahāfut at-Tahāfut. The value of this article is to take inspiration from the discussion, then use it to develop Islamic education in Modern Era. This study uses a library research methodology of the work of the two figures and from a journal or research that analyzes the discussion of the two figures. The results of this study are: providing insight into how to benefit from a culture of literacy and scientific dialogue; open and productive attitude, the importance of critical and systematic thinking; and provides insights into the Islamic worldview of Muslim scientists in the era of modern science to understand the concepts of knowledge and causality","author":[{"dropping-particle":"","family":"Nur Dianna","given":"Daru","non-dropping-particle":"","parse-names":false,"suffix":""}],"container-title":"Kalimah: Jurnal Studi Agama-Agama dan Pemikiran Islam","id":"ITEM-1","issue":"1","issued":{"date-parts":[["2020"]]},"page":"33-50","title":"Kontribusi Filsafat Islam terhadap Pendidikan Islam (Studi Analisis al-Ghazali dan Ibnu Rusyd)","type":"article-journal","volume":"18"},"uris":["http://www.mendeley.com/documents/?uuid=98d4d9ae-0666-455a-a74f-24b7a34b0bfb"]}],"mendeley":{"formattedCitation":"Daru Nur Dianna, “Kontribusi Filsafat Islam Terhadap Pendidikan Islam (Studi Analisis Al-Ghazali Dan Ibnu Rusyd),” &lt;i&gt;Kalimah: Jurnal Studi Agama-Agama dan Pemikiran Islam&lt;/i&gt; 18, no. 1 (2020): 33–50, http://dx.doi.org/10.21111/klm.v18i1.3967.","plainTextFormattedCitation":"Daru Nur Dianna, “Kontribusi Filsafat Islam Terhadap Pendidikan Islam (Studi Analisis Al-Ghazali Dan Ibnu Rusyd),” Kalimah: Jurnal Studi Agama-Agama dan Pemikiran Islam 18, no. 1 (2020): 33–50, http://dx.doi.org/10.21111/klm.v18i1.3967.","previouslyFormattedCitation":"Daru Nur Dianna, “Kontribusi Filsafat Islam Terhadap Pendidikan Islam (Studi Analisis Al-Ghazali Dan Ibnu Rusyd),” &lt;i&gt;Kalimah: Jurnal Studi Agama-Agama dan Pemikiran Islam&lt;/i&gt; 18, no. 1 (2020): 33–50, http://dx.doi.org/10.21111/klm.v18i1.3967."},"properties":{"noteIndex":14},"schema":"https://github.com/citation-style-language/schema/raw/master/csl-citation.json"}</w:instrText>
      </w:r>
      <w:r w:rsidRPr="00CC5741">
        <w:rPr>
          <w:rFonts w:ascii="Palatino Linotype" w:hAnsi="Palatino Linotype" w:cstheme="majorBidi"/>
        </w:rPr>
        <w:fldChar w:fldCharType="separate"/>
      </w:r>
      <w:r w:rsidRPr="00CC5741">
        <w:rPr>
          <w:rFonts w:ascii="Palatino Linotype" w:hAnsi="Palatino Linotype" w:cstheme="majorBidi"/>
          <w:noProof/>
        </w:rPr>
        <w:t xml:space="preserve">Daru Nur Dianna, “Kontribusi Filsafat Islam Terhadap Pendidikan Islam (Studi Analisis Al-Ghazali Dan Ibnu Rusyd),” </w:t>
      </w:r>
      <w:r w:rsidRPr="00CC5741">
        <w:rPr>
          <w:rFonts w:ascii="Palatino Linotype" w:hAnsi="Palatino Linotype" w:cstheme="majorBidi"/>
          <w:i/>
          <w:noProof/>
        </w:rPr>
        <w:t>Kalimah: Jurnal Studi Agama-Agama dan Pemikiran Islam</w:t>
      </w:r>
      <w:r w:rsidRPr="00CC5741">
        <w:rPr>
          <w:rFonts w:ascii="Palatino Linotype" w:hAnsi="Palatino Linotype" w:cstheme="majorBidi"/>
          <w:noProof/>
        </w:rPr>
        <w:t xml:space="preserve"> 18, no. 1 (2020): 33–50, http://dx.doi.org/10.21111/klm.v18i1.3967.</w:t>
      </w:r>
      <w:r w:rsidRPr="00CC5741">
        <w:rPr>
          <w:rFonts w:ascii="Palatino Linotype" w:hAnsi="Palatino Linotype" w:cstheme="majorBidi"/>
        </w:rPr>
        <w:fldChar w:fldCharType="end"/>
      </w:r>
      <w:r w:rsidRPr="00CC5741">
        <w:rPr>
          <w:rFonts w:ascii="Palatino Linotype" w:hAnsi="Palatino Linotype" w:cstheme="majorBidi"/>
        </w:rPr>
        <w:t xml:space="preserve"> hal 38</w:t>
      </w:r>
      <w:r w:rsidRPr="00CC5741">
        <w:rPr>
          <w:rFonts w:ascii="Palatino Linotype" w:hAnsi="Palatino Linotype"/>
        </w:rPr>
        <w:t xml:space="preserve"> </w:t>
      </w:r>
    </w:p>
  </w:footnote>
  <w:footnote w:id="15">
    <w:p w14:paraId="20794302" w14:textId="1976F0AC" w:rsidR="00506A31" w:rsidRPr="00CC5741" w:rsidRDefault="00506A31" w:rsidP="00506A31">
      <w:pPr>
        <w:pStyle w:val="FootnoteText"/>
        <w:ind w:firstLine="720"/>
        <w:rPr>
          <w:rFonts w:ascii="Palatino Linotype" w:hAnsi="Palatino Linotype"/>
        </w:rPr>
      </w:pPr>
      <w:r w:rsidRPr="00CC5741">
        <w:rPr>
          <w:rStyle w:val="FootnoteReference"/>
          <w:rFonts w:ascii="Palatino Linotype" w:hAnsi="Palatino Linotype"/>
        </w:rPr>
        <w:footnoteRef/>
      </w:r>
      <w:r w:rsidRPr="00CC5741">
        <w:rPr>
          <w:rFonts w:ascii="Palatino Linotype" w:hAnsi="Palatino Linotype"/>
        </w:rPr>
        <w:t xml:space="preserve">Zulfi Imran, “Akal dan wahyu Menurut ibnu rusydi”, Al mufida Vol. I No. 1 </w:t>
      </w:r>
      <w:r w:rsidR="007A1008" w:rsidRPr="00CC5741">
        <w:rPr>
          <w:rFonts w:ascii="Palatino Linotype" w:hAnsi="Palatino Linotype"/>
        </w:rPr>
        <w:t>Juli – Desember 2016.</w:t>
      </w:r>
    </w:p>
  </w:footnote>
  <w:footnote w:id="16">
    <w:p w14:paraId="546A60E8" w14:textId="2DE06A18" w:rsidR="007A1008" w:rsidRPr="00CC5741" w:rsidRDefault="007A1008" w:rsidP="007A1008">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Zulfi Imran, “Akal dan wahyu Menurut ibnu rusydi……”</w:t>
      </w:r>
    </w:p>
  </w:footnote>
  <w:footnote w:id="17">
    <w:p w14:paraId="4A69E266" w14:textId="3696AD68" w:rsidR="00901638" w:rsidRPr="00CC5741" w:rsidRDefault="00901638" w:rsidP="00CC5741">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{"citationItems":[{"id":"ITEM-1","itemData":{"abstract":"Discussions about tawhid have been controversial and debated by previous scholars. That is because some of them express God's Oneness using logic. However, Ibn Taymiyah tried to reform the nationalized tawhid based on the Qur'an and the Sunnah. And unequivocally criticize arguments that are not all with Islamic values. However, the renewal of Ibn Taymiyah's thinking was not immediately accepted by some scholars. Shaikh Taqiyuddin as-Subki, for example, judged ibn Taymiyah's reform discourse to be rigid and out of al-ittiba' and switched to al-ibtida'. Thus this discourse of renewal is an oddity carried out by Ibn Taymiyah. However, although it is considered strange, Ibn Taymiyah's thinking is considered more likely to be exclusive. So the study of religion makes Islam easy to understand by Modern Muslims. Including the concept of tawhid by classifying it into three parts. None other than that modern Muslims can understand tawhid universally and comprehensively. By studying some of Ibn Taymiyah's books and other supporters the author tried to explain the concept of tawhid and the discourse of renewal.","author":[{"dropping-particle":"","family":"Azizah","given":"Qois","non-dropping-particle":"","parse-names":false,"suffix":""}],"container-title":"Aqlania: Jurnal Filsafat dan Teologi Islam","id":"ITEM-1","issue":"2","issued":{"date-parts":[["2021"]]},"page":"181-198","title":"Konsep Tauhid Ibnu Taimiyah dan Pengaruhnya Terhadap Pembaharuan Pemikiran Islam","type":"article-journal","volume":"12"},"uris":["http://www.mendeley.com/documents/?uuid=ee04e6d1-f5f5-4f01-bc6b-ba6b68eef25a"]}],"mendeley":{"formattedCitation":"Qois Azizah, “Konsep Tauhid Ibnu Taimiyah Dan Pengaruhnya Terhadap Pembaharuan Pemikiran Islam,” &lt;i&gt;Aqlania: Jurnal Filsafat dan Teologi Islam&lt;/i&gt; 12, no. 2 (2021): 181–198.","plainTextFormattedCitation":"Qois Azizah, “Konsep Tauhid Ibnu Taimiyah Dan Pengaruhnya Terhadap Pembaharuan Pemikiran Islam,” Aqlania: Jurnal Filsafat dan Teologi Islam 12, no. 2 (2021): 181–198.","previouslyFormattedCitation":"Qois Azizah, “Konsep Tauhid Ibnu Taimiyah Dan Pengaruhnya Terhadap Pembaharuan Pemikiran Islam,” &lt;i&gt;Aqlania: Jurnal Filsafat dan Teologi Islam&lt;/i&gt; 12, no. 2 (2021): 181–198."},"properties":{"noteIndex":17},"schema":"https://github.com/citation-style-language/schema/raw/master/csl-citation.json"}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 xml:space="preserve">Qois Azizah, “Konsep Tauhid Ibnu Taimiyah Dan Pengaruhnya Terhadap Pembaharuan Pemikiran Islam,” </w:t>
      </w:r>
      <w:r w:rsidRPr="00CC5741">
        <w:rPr>
          <w:rFonts w:ascii="Palatino Linotype" w:hAnsi="Palatino Linotype"/>
          <w:i/>
          <w:noProof/>
        </w:rPr>
        <w:t>Aqlania: Jurnal Filsafat dan Teologi Islam</w:t>
      </w:r>
      <w:r w:rsidRPr="00CC5741">
        <w:rPr>
          <w:rFonts w:ascii="Palatino Linotype" w:hAnsi="Palatino Linotype"/>
          <w:noProof/>
        </w:rPr>
        <w:t xml:space="preserve"> 12, no. 2 (2021): 181–198.</w:t>
      </w:r>
      <w:r w:rsidRPr="00CC5741">
        <w:rPr>
          <w:rFonts w:ascii="Palatino Linotype" w:hAnsi="Palatino Linotype"/>
        </w:rPr>
        <w:fldChar w:fldCharType="end"/>
      </w:r>
    </w:p>
  </w:footnote>
  <w:footnote w:id="18">
    <w:p w14:paraId="5B1F3B18" w14:textId="7088BE89" w:rsidR="00901638" w:rsidRPr="00CC5741" w:rsidRDefault="00901638" w:rsidP="00CC5741">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{"citationItems":[{"id":"ITEM-1","itemData":{"abstract":"Discussions about tawhid have been controversial and debated by previous scholars. That is because some of them express God's Oneness using logic. However, Ibn Taymiyah tried to reform the nationalized tawhid based on the Qur'an and the Sunnah. And unequivocally criticize arguments that are not all with Islamic values. However, the renewal of Ibn Taymiyah's thinking was not immediately accepted by some scholars. Shaikh Taqiyuddin as-Subki, for example, judged ibn Taymiyah's reform discourse to be rigid and out of al-ittiba' and switched to al-ibtida'. Thus this discourse of renewal is an oddity carried out by Ibn Taymiyah. However, although it is considered strange, Ibn Taymiyah's thinking is considered more likely to be exclusive. So the study of religion makes Islam easy to understand by Modern Muslims. Including the concept of tawhid by classifying it into three parts. None other than that modern Muslims can understand tawhid universally and comprehensively. By studying some of Ibn Taymiyah's books and other supporters the author tried to explain the concept of tawhid and the discourse of renewal.","author":[{"dropping-particle":"","family":"Azizah","given":"Qois","non-dropping-particle":"","parse-names":false,"suffix":""}],"container-title":"Aqlania: Jurnal Filsafat dan Teologi Islam","id":"ITEM-1","issue":"2","issued":{"date-parts":[["2021"]]},"page":"181-198","title":"Konsep Tauhid Ibnu Taimiyah dan Pengaruhnya Terhadap Pembaharuan Pemikiran Islam","type":"article-journal","volume":"12"},"uris":["http://www.mendeley.com/documents/?uuid=ee04e6d1-f5f5-4f01-bc6b-ba6b68eef25a"]}],"mendeley":{"formattedCitation":"Ibid.","plainTextFormattedCitation":"Ibid.","previouslyFormattedCitation":"Ibid."},"properties":{"noteIndex":18},"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Ibid.</w:t>
      </w:r>
      <w:r w:rsidRPr="00CC5741">
        <w:rPr>
          <w:rFonts w:ascii="Palatino Linotype" w:hAnsi="Palatino Linotype"/>
        </w:rPr>
        <w:fldChar w:fldCharType="end"/>
      </w:r>
    </w:p>
  </w:footnote>
  <w:footnote w:id="19">
    <w:p w14:paraId="543F192B" w14:textId="10D33A49" w:rsidR="00F66E24" w:rsidRPr="00CC5741" w:rsidRDefault="00F66E24" w:rsidP="00F66E24">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{"citationItems":[{"id":"ITEM-1","itemData":{"DOI":"10.37252/annur.v14i1.226","ISSN":"1829-8753","abstract":"This article was written with the aim of examining Ibn Rushd's thoughts in bringing together religion and philosophy. Ibn Rushd views that there was a peaceful relationship between sharia and philosophy because apart from placing the two as a means of achieving the truth and affirming that they supported each other, not deny each other in the form of the principle of unification. That means, both were in one goal, namely to find the truth. The research method used by the author was library research. While the results of the study explained that in Ibn Rushd's view, to bring together philosophy and religion, a tool was needed, namely the mind. Ibn Rushd gave his own area of ??work on revelation and the intellect (ratio) and tried to link the two through his theory of takwil. Takwil was used to bridge the difference between the meaning of textuality and rational understanding.","author":[{"dropping-particle":"","family":"Ibad","given":"Muslikhul","non-dropping-particle":"","parse-names":false,"suffix":""},{"dropping-particle":"","family":"Khalim","given":"Ahmad Dwi Nur","non-dropping-particle":"","parse-names":false,"suffix":""}],"container-title":"AN NUR: Jurnal Studi Islam","id":"ITEM-1","issue":"1","issued":{"date-parts":[["2022"]]},"page":"80-92","title":"Epistemologi Ibnu Rusyd (Telaah Relasi Wahyu dan Rasio)","type":"article-journal","volume":"14"},"uris":["http://www.mendeley.com/documents/?uuid=4c428f2e-feaa-4b69-9129-df3d2ba68109"]}],"mendeley":{"formattedCitation":"Muslikhul Ibad and Ahmad Dwi Nur Khalim, “Epistemologi Ibnu Rusyd (Telaah Relasi Wahyu Dan Rasio),” &lt;i&gt;AN NUR: Jurnal Studi Islam&lt;/i&gt; 14, no. 1 (2022): 80–92.","plainTextFormattedCitation":"Muslikhul Ibad and Ahmad Dwi Nur Khalim, “Epistemologi Ibnu Rusyd (Telaah Relasi Wahyu Dan Rasio),” AN NUR: Jurnal Studi Islam 14, no. 1 (2022): 80–92.","previouslyFormattedCitation":"Muslikhul Ibad and Ahmad Dwi Nur Khalim, “Epistemologi Ibnu Rusyd (Telaah Relasi Wahyu Dan Rasio),” &lt;i&gt;AN NUR: Jurnal Studi Islam&lt;/i&gt; 14, no. 1 (2022): 80–92."},"properties":{"noteIndex":19},"schema":"https://github.com/citation-style-language/schema/raw/master/csl-citation.json"}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 xml:space="preserve">Muslikhul Ibad and Ahmad Dwi Nur Khalim, “Epistemologi Ibnu Rusyd (Telaah Relasi Wahyu Dan Rasio),” </w:t>
      </w:r>
      <w:r w:rsidRPr="00CC5741">
        <w:rPr>
          <w:rFonts w:ascii="Palatino Linotype" w:hAnsi="Palatino Linotype"/>
          <w:i/>
          <w:noProof/>
        </w:rPr>
        <w:t>AN NUR: Jurnal Studi Islam</w:t>
      </w:r>
      <w:r w:rsidRPr="00CC5741">
        <w:rPr>
          <w:rFonts w:ascii="Palatino Linotype" w:hAnsi="Palatino Linotype"/>
          <w:noProof/>
        </w:rPr>
        <w:t xml:space="preserve"> 14, no. 1 (2022): 80–92.</w:t>
      </w:r>
      <w:r w:rsidRPr="00CC5741">
        <w:rPr>
          <w:rFonts w:ascii="Palatino Linotype" w:hAnsi="Palatino Linotype"/>
        </w:rPr>
        <w:fldChar w:fldCharType="end"/>
      </w:r>
    </w:p>
  </w:footnote>
  <w:footnote w:id="20">
    <w:p w14:paraId="59987AC5" w14:textId="4F5F7B04" w:rsidR="00053669" w:rsidRPr="00CC5741" w:rsidRDefault="00053669" w:rsidP="00053669">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uthor":[{"dropping-particle":"","family":"Fakultas","given":"Dosen","non-dropping-particle":"","parse-names":false,"suffix":""},{"dropping-particle":"","family":"Iain","given":"Humaniora","non-dropping-particle":"","parse-names":false,"suffix":""},{"dropping-particle":"","family":"Jambi","given":"S T S","non-dropping-particle":"","parse-names":false,"suffix":""}],"id":"ITEM-1","issued":{"date-parts":[["1991"]]},"page":"1-24","title":"IBN RUSYD Samsul Huda","type":"article-journal"},"uris":["http://www.mendeley.com/documents/?uuid=90a252a3-5282-4cd0-adac-ba6428875ded"]}],"mendeley":{"formattedCitation":"Dosen Fakultas, Humaniora Iain, and S T S Jambi, “IBN RUSYD Samsul Huda” (1991): 1–24.","plainTextFormattedCitation":"Dosen Fakultas, Humaniora Iain, and S T S Jambi, “IBN RUSYD Samsul Huda” (1991): 1–24.","previouslyFormattedCitation":"Dosen Fakultas, Humaniora Iain, and S T S Jambi, “IBN RUSYD Samsul Huda” (1991): 1–24."},"properties":{"noteIndex":20},"schema":"https://github.com/citation-style-language/schema/raw/master/csl-citation.json"}</w:instrText>
      </w:r>
      <w:r w:rsidRPr="00CC5741">
        <w:rPr>
          <w:rFonts w:ascii="Palatino Linotype" w:hAnsi="Palatino Linotype" w:cstheme="majorBidi"/>
        </w:rPr>
        <w:fldChar w:fldCharType="separate"/>
      </w:r>
      <w:r w:rsidR="00506A31" w:rsidRPr="00CC5741">
        <w:rPr>
          <w:rFonts w:ascii="Palatino Linotype" w:hAnsi="Palatino Linotype" w:cstheme="majorBidi"/>
          <w:noProof/>
        </w:rPr>
        <w:t>Dosen Fakultas, Humaniora Iain, and S T S Jambi, “IBN RUSYD Samsul Huda” (1991): 1–24.</w:t>
      </w:r>
      <w:r w:rsidRPr="00CC5741">
        <w:rPr>
          <w:rFonts w:ascii="Palatino Linotype" w:hAnsi="Palatino Linotype" w:cstheme="majorBidi"/>
        </w:rPr>
        <w:fldChar w:fldCharType="end"/>
      </w:r>
    </w:p>
  </w:footnote>
  <w:footnote w:id="21">
    <w:p w14:paraId="4636BBFF" w14:textId="29CEF0E8" w:rsidR="00053669" w:rsidRPr="00CC5741" w:rsidRDefault="00053669" w:rsidP="00053669">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{"citationItems":[{"id":"ITEM-1","itemData":{"abstract":"Pandangan manusia tentang alam mempunyai sejarahnya yang panjang. Bentuk dan isinya berkembang mulai dari mitos (kosmogoni), pandangan filosofis, doktrin penciptaan dari agama, hingga penjelasan melalui jalan ilmiah yang disebut sains. Tulisan ini mencoba mendeskripsikan perkembangan mutakhir dalam bidang kosmologi yang didasarkan pada teori dan sistem komputer. Anggapan dasar para ilmuwan komputer atau cyberis tentang alam semesta adalah bahwa alam semesta adalah komputer dan dapat disimulasikan hukum-hukumnya dalam komputer. Pandangan kosmologinya dibangun berdasarkan kesamaan alam semesta dengan komputer. Alam semesta dipandang hanyalah terdiri dari lalu lintas bit-bit informasi yang saling terhubung. Atom semesta adalah bit, sedangkan materi adalah bit-bit informasi yang bergerak berdasarkan proses komputasi. Hukum alam adalah algoritma. Maka, susunan dan hukum-hukum yang berlaku dialam semesta berlaku juga bagi komputer. Dengan kata lain, dari susunan dan hukum-hukum yang berlaku di komputer bisa diterapkan atau dipakai untuk menjelaskan alam semesta. Kata Kunci : alam, kosmologi, algoritma, komputas","author":[{"dropping-particle":"","family":"Hasanah","given":"Umdatul","non-dropping-particle":"","parse-names":false,"suffix":""}],"container-title":"Al-Fath","id":"ITEM-1","issue":"01","issued":{"date-parts":[["2008"]]},"page":"01-10","title":"Filsafat dan Agama Menurut Ibn Rusyd","type":"article-journal","volume":"02"},"uris":["http://www.mendeley.com/documents/?uuid=2e9f5082-4505-4eb6-aee0-2c38004c9bd0"]}],"mendeley":{"formattedCitation":"Hasanah, “Filsafat Dan Agama Menurut Ibn Rusyd.”","plainTextFormattedCitation":"Hasanah, “Filsafat Dan Agama Menurut Ibn Rusyd.”","previouslyFormattedCitation":"Hasanah, “Filsafat Dan Agama Menurut Ibn Rusyd.”"},"properties":{"noteIndex":21},"schema":"https://github.com/citation-style-language/schema/raw/master/csl-citation.json"}</w:instrText>
      </w:r>
      <w:r w:rsidRPr="00CC5741">
        <w:rPr>
          <w:rFonts w:ascii="Palatino Linotype" w:hAnsi="Palatino Linotype" w:cstheme="majorBidi"/>
        </w:rPr>
        <w:fldChar w:fldCharType="separate"/>
      </w:r>
      <w:r w:rsidRPr="00CC5741">
        <w:rPr>
          <w:rFonts w:ascii="Palatino Linotype" w:hAnsi="Palatino Linotype" w:cstheme="majorBidi"/>
          <w:noProof/>
        </w:rPr>
        <w:t>Hasanah, “Filsafat Dan Agama Menurut Ibn Rusyd.”</w:t>
      </w:r>
      <w:r w:rsidRPr="00CC5741">
        <w:rPr>
          <w:rFonts w:ascii="Palatino Linotype" w:hAnsi="Palatino Linotype" w:cstheme="majorBidi"/>
        </w:rPr>
        <w:fldChar w:fldCharType="end"/>
      </w:r>
    </w:p>
  </w:footnote>
  <w:footnote w:id="22">
    <w:p w14:paraId="0CCA6687" w14:textId="2DA9D319" w:rsidR="00FA3BAE" w:rsidRPr="00CC5741" w:rsidRDefault="00FA3BAE" w:rsidP="00FA3BAE">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uthor":[{"dropping-particle":"","family":"Fakultas","given":"Dosen","non-dropping-particle":"","parse-names":false,"suffix":""},{"dropping-particle":"","family":"Iain","given":"Humaniora","non-dropping-particle":"","parse-names":false,"suffix":""},{"dropping-particle":"","family":"Jambi","given":"S T S","non-dropping-particle":"","parse-names":false,"suffix":""}],"id":"ITEM-1","issued":{"date-parts":[["1991"]]},"page":"1-24","title":"IBN RUSYD Samsul Huda","type":"article-journal"},"uris":["http://www.mendeley.com/documents/?uuid=90a252a3-5282-4cd0-adac-ba6428875ded"]}],"mendeley":{"formattedCitation":"Fakultas, Iain, and Jambi, “IBN RUSYD Samsul Huda.”","plainTextFormattedCitation":"Fakultas, Iain, and Jambi, “IBN RUSYD Samsul Huda.”","previouslyFormattedCitation":"Fakultas, Iain, and Jambi, “IBN RUSYD Samsul Huda.”"},"properties":{"noteIndex":22},"schema":"https://github.com/citation-style-language/schema/raw/master/csl-citation.json"}</w:instrText>
      </w:r>
      <w:r w:rsidRPr="00CC5741">
        <w:rPr>
          <w:rFonts w:ascii="Palatino Linotype" w:hAnsi="Palatino Linotype" w:cstheme="majorBidi"/>
        </w:rPr>
        <w:fldChar w:fldCharType="separate"/>
      </w:r>
      <w:r w:rsidR="00506A31" w:rsidRPr="00CC5741">
        <w:rPr>
          <w:rFonts w:ascii="Palatino Linotype" w:hAnsi="Palatino Linotype" w:cstheme="majorBidi"/>
          <w:noProof/>
        </w:rPr>
        <w:t>Fakultas, Iain, and Jambi, “IBN RUSYD Samsul Huda.”</w:t>
      </w:r>
      <w:r w:rsidRPr="00CC5741">
        <w:rPr>
          <w:rFonts w:ascii="Palatino Linotype" w:hAnsi="Palatino Linotype" w:cstheme="majorBidi"/>
        </w:rPr>
        <w:fldChar w:fldCharType="end"/>
      </w:r>
    </w:p>
  </w:footnote>
  <w:footnote w:id="23">
    <w:p w14:paraId="117D45A5" w14:textId="52F2A33B" w:rsidR="00FA3BAE" w:rsidRPr="00CC5741" w:rsidRDefault="00FA3BAE" w:rsidP="00FA3BAE">
      <w:pPr>
        <w:pStyle w:val="FootnoteText"/>
        <w:ind w:firstLine="720"/>
        <w:rPr>
          <w:rFonts w:ascii="Palatino Linotype" w:hAnsi="Palatino Linotype" w:cstheme="majorBidi"/>
          <w:lang w:val="en-US"/>
        </w:rPr>
      </w:pPr>
      <w:r w:rsidRPr="00CC5741">
        <w:rPr>
          <w:rStyle w:val="FootnoteReference"/>
          <w:rFonts w:ascii="Palatino Linotype" w:hAnsi="Palatino Linotype" w:cstheme="majorBidi"/>
        </w:rPr>
        <w:footnoteRef/>
      </w:r>
      <w:r w:rsidRPr="00CC5741">
        <w:rPr>
          <w:rFonts w:ascii="Palatino Linotype" w:hAnsi="Palatino Linotype" w:cstheme="majorBidi"/>
        </w:rPr>
        <w:t xml:space="preserve"> </w:t>
      </w:r>
      <w:r w:rsidRPr="00CC5741">
        <w:rPr>
          <w:rFonts w:ascii="Palatino Linotype" w:hAnsi="Palatino Linotype" w:cstheme="majorBidi"/>
        </w:rPr>
        <w:fldChar w:fldCharType="begin" w:fldLock="1"/>
      </w:r>
      <w:r w:rsidR="00CC5741" w:rsidRPr="00CC5741">
        <w:rPr>
          <w:rFonts w:ascii="Palatino Linotype" w:hAnsi="Palatino Linotype" w:cstheme="majorBidi"/>
        </w:rPr>
        <w:instrText>ADDIN CSL_CITATION {"citationItems":[{"id":"ITEM-1","itemData":{"abstract":"… dengan kekuatan akal. Dalam hal ini termasuk ayat-ayat yang erat kaitanya dengan akal. Di … Dalam membahas akal dan wahyu Ibn Rusyd menggunakan prinsip hubungan (ittisal) yang …","author":[{"dropping-particle":"","family":"Imran","given":"Zulfi","non-dropping-particle":"","parse-names":false,"suffix":""}],"container-title":"Almufida","id":"ITEM-1","issue":"1","issued":{"date-parts":[["2016"]]},"page":"200-214","title":"Akal Dan Wahyu Menurut Ibnu Ruysdi","type":"article-journal","volume":"I"},"uris":["http://www.mendeley.com/documents/?uuid=19017b4d-a651-4ccc-a0fc-e0727b21d8b4"]}],"mendeley":{"formattedCitation":"Zulfi Imran, “Akal Dan Wahyu Menurut Ibnu Ruysdi,” &lt;i&gt;Almufida&lt;/i&gt; I, no. 1 (2016): 200–214, https://jurnal.dharmawangsa.ac.id/index.php/almufida/article/view/112/107.","plainTextFormattedCitation":"Zulfi Imran, “Akal Dan Wahyu Menurut Ibnu Ruysdi,” Almufida I, no. 1 (2016): 200–214, https://jurnal.dharmawangsa.ac.id/index.php/almufida/article/view/112/107.","previouslyFormattedCitation":"Zulfi Imran, “Akal Dan Wahyu Menurut Ibnu Ruysdi,” &lt;i&gt;Almufida&lt;/i&gt; I, no. 1 (2016): 200–214, https://jurnal.dharmawangsa.ac.id/index.php/almufida/article/view/112/107."},"properties":{"noteIndex":23},"schema":"https://github.com/citation-style-language/schema/raw/master/csl-citation.json"}</w:instrText>
      </w:r>
      <w:r w:rsidRPr="00CC5741">
        <w:rPr>
          <w:rFonts w:ascii="Palatino Linotype" w:hAnsi="Palatino Linotype" w:cstheme="majorBidi"/>
        </w:rPr>
        <w:fldChar w:fldCharType="separate"/>
      </w:r>
      <w:r w:rsidRPr="00CC5741">
        <w:rPr>
          <w:rFonts w:ascii="Palatino Linotype" w:hAnsi="Palatino Linotype" w:cstheme="majorBidi"/>
          <w:noProof/>
        </w:rPr>
        <w:t xml:space="preserve">Zulfi Imran, “Akal Dan Wahyu Menurut Ibnu Ruysdi,” </w:t>
      </w:r>
      <w:r w:rsidRPr="00CC5741">
        <w:rPr>
          <w:rFonts w:ascii="Palatino Linotype" w:hAnsi="Palatino Linotype" w:cstheme="majorBidi"/>
          <w:i/>
          <w:noProof/>
        </w:rPr>
        <w:t>Almufida</w:t>
      </w:r>
      <w:r w:rsidRPr="00CC5741">
        <w:rPr>
          <w:rFonts w:ascii="Palatino Linotype" w:hAnsi="Palatino Linotype" w:cstheme="majorBidi"/>
          <w:noProof/>
        </w:rPr>
        <w:t xml:space="preserve"> I, no. 1 (2016): 200–214, https://jurnal.dharmawangsa.ac.id/index.php/almufida/article/view/112/107.</w:t>
      </w:r>
      <w:r w:rsidRPr="00CC5741">
        <w:rPr>
          <w:rFonts w:ascii="Palatino Linotype" w:hAnsi="Palatino Linotype" w:cstheme="majorBidi"/>
        </w:rPr>
        <w:fldChar w:fldCharType="end"/>
      </w:r>
    </w:p>
  </w:footnote>
  <w:footnote w:id="24">
    <w:p w14:paraId="512CE01F" w14:textId="3B24C187" w:rsidR="00901638" w:rsidRPr="00CC5741" w:rsidRDefault="00901638" w:rsidP="00CC5741">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{"citationItems":[{"id":"ITEM-1","itemData":{"ISSN":"2089-7804","abstract":"Perkembangan pemikiran kalam di Indonesia mengindikasikan beberapa ide-ide rekonstruksi pemikiran Islam yang memiliki beberapa implikasi. Untuk memahami konstruksinya, makalah ini menunjukkan pergeseran paradigma pemikiran teologi Islam dari era klasik ke kontemporer. Pergeseran ini terjadi sejak pertumbuhan Khawarij yang membahas tentang dosa besar, orang beriman, surga, dan neraka. Sekarang, pemikiran teologis telah tumbuh dan masuk dalam berbagai paradigma ilmiah. Tema-tema ini juga sangat variasional, bahkan hal baru yang tidak ada artinya sebelumnya. Jenis pemikiran dapat dibagi dalam keempat jenis yaitu ideologi Islam sebagai paradigma fundemental, neo-modernisme yang memiliki konsep terbuka terhadap studi Islam, rasionalism dalam Islam dan percabangannya, dan Islam Liberal yang disutradarai oleh para pemikir muslim muda, yang lahir setelah reformasi dalam transformasi politik Indonesia. Era ini disebut sebagai era reformasi dimana beberapa aktivis muslim muda pada kesempatan ini dapat mengekspresikan pemikiran dengan semangat pembebasan, dan dalam waktu yang sama konstruksi mereka dalam berpikir harus siap mendapat tanggapan dari aktivis fundamentalisme Islam radikal atau Islam di Indonesia. Pemikiran teologis kritis tidak memisahkan teori dan praktik, pengetahuan dan tindakan, rasionalitas teoretis dan rasionalitas praktis. Pikiran teologis kritis milik paradigma atau pandangan dunia baru adalah yang penting untuk era kontemporer. Pemikiran teologis kritis di Indonesia telah dinyatakan oleh para intelektual kritis seperti Harun Nasution, A. Hanafi, Nurcholis Majid, dan Abdurrahman Wahid. Paradigma teologi Islam kritis adalah pemikiran emansipatoris pada budaya dan masyarakat modern, misalnya kritik terhadap ekonomi, politik, dan struktur. Pikiran ini berawal dari reaksi sistem sosial yang tidak adil. Pikiran ini berawal dari titik penderitaan pada praksis. Tujuannya adalah untuk membangun struktur sosial yang membebaskan manusia dari setiap penindasan. Pemikiran teologis kritis tidak memisahkan teori dan praktik, pengetahuan dan tindakan, rasionalitas teoretis dan rasionalitas praktis. Pemikiran ini mencerminkan sesuatu yang secara kritis merupakan praktik dalam kehidupan sosial historis.","author":[{"dropping-particle":"","family":"Syamsuddin","given":"Mukhtasar","non-dropping-particle":"","parse-names":false,"suffix":""}],"container-title":"Arete","id":"ITEM-1","issue":"2","issued":{"date-parts":[["2013"]]},"page":"127-148","title":"Hubungan Wahyu Dan Akal Dalam Tradisi Filsafat Islam","type":"article-journal","volume":"1"},"uris":["http://www.mendeley.com/documents/?uuid=58dbeaf9-1f4d-49ff-9666-06415c93c1d1"]}],"mendeley":{"formattedCitation":"Syamsuddin, “Hubungan Wahyu Dan Akal Dalam Tradisi Filsafat Islam.”","plainTextFormattedCitation":"Syamsuddin, “Hubungan Wahyu Dan Akal Dalam Tradisi Filsafat Islam.”","previouslyFormattedCitation":"Syamsuddin, “Hubungan Wahyu Dan Akal Dalam Tradisi Filsafat Islam.”"},"properties":{"noteIndex":24},"schema":"https://github.com/citation-style-language/schema/raw/master/csl-citation.json"}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Syamsuddin, “Hubungan Wahyu Dan Akal Dalam Tradisi Filsafat Islam.”</w:t>
      </w:r>
      <w:r w:rsidRPr="00CC5741">
        <w:rPr>
          <w:rFonts w:ascii="Palatino Linotype" w:hAnsi="Palatino Linotype"/>
        </w:rPr>
        <w:fldChar w:fldCharType="end"/>
      </w:r>
    </w:p>
  </w:footnote>
  <w:footnote w:id="25">
    <w:p w14:paraId="419EE94B" w14:textId="59AEEDBB" w:rsidR="00901638" w:rsidRPr="00CC5741" w:rsidRDefault="00901638" w:rsidP="00CC5741">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{"citationItems":[{"id":"ITEM-1","itemData":{"DOI":"10.30762/qof.v6i2.300","ISSN":"2598-5817","abstract":"The relevance of revelation and sense especially regarding the contradiction between the two is a problem that is often discussed by Muslim intellectual. Most of the scholars tend to reject the existence of a contradiction between revelation and sense, they argue that it should be so because basically they both come from the Almighty God, so it is impossible for the two to be contradictory. This of course will affect the authenticity of the resulting interpretation and will cause defects in it. Based on this, intellectual anxiety arises about how the scholars respond to this matter, which in this study will be devoted to the response of Ibn Taymiyah in his book Dar’ Ta'āru</w:instrText>
      </w:r>
      <w:r w:rsidR="00CC5741" w:rsidRPr="00CC5741">
        <w:rPr>
          <w:rFonts w:ascii="Calibri" w:hAnsi="Calibri" w:cs="Calibri"/>
        </w:rPr>
        <w:instrText>ḍ</w:instrText>
      </w:r>
      <w:r w:rsidR="00CC5741" w:rsidRPr="00CC5741">
        <w:rPr>
          <w:rFonts w:ascii="Palatino Linotype" w:hAnsi="Palatino Linotype"/>
        </w:rPr>
        <w:instrText xml:space="preserve"> al-'Aql wa al-Naql, and how its relevance to the concept of al-dakhīl (infiltration) in the interpretation of the Qur'an. This study is a literature review by examining the book Dar’ Ta'āru</w:instrText>
      </w:r>
      <w:r w:rsidR="00CC5741" w:rsidRPr="00CC5741">
        <w:rPr>
          <w:rFonts w:ascii="Calibri" w:hAnsi="Calibri" w:cs="Calibri"/>
        </w:rPr>
        <w:instrText>ḍ</w:instrText>
      </w:r>
      <w:r w:rsidR="00CC5741" w:rsidRPr="00CC5741">
        <w:rPr>
          <w:rFonts w:ascii="Palatino Linotype" w:hAnsi="Palatino Linotype"/>
        </w:rPr>
        <w:instrText xml:space="preserve"> al-'Aql wa al-Naql by Ibn Taymiyyah and several writings related to this topic. This results in an understanding that the assumptions that say there is a contradiction between revelation and sense in the book are unacceptable. Ibn Taymiyah also emphasized that although it was forced to be possible for a conflict between the two to occur, the conflict that occurred was on the status of  dalīl that was qa</w:instrText>
      </w:r>
      <w:r w:rsidR="00CC5741" w:rsidRPr="00CC5741">
        <w:rPr>
          <w:rFonts w:ascii="Calibri" w:hAnsi="Calibri" w:cs="Calibri"/>
        </w:rPr>
        <w:instrText>ṭ</w:instrText>
      </w:r>
      <w:r w:rsidR="00CC5741" w:rsidRPr="00CC5741">
        <w:rPr>
          <w:rFonts w:ascii="Palatino Linotype" w:hAnsi="Palatino Linotype"/>
        </w:rPr>
        <w:instrText>'ī-</w:instrText>
      </w:r>
      <w:r w:rsidR="00CC5741" w:rsidRPr="00CC5741">
        <w:rPr>
          <w:rFonts w:ascii="Calibri" w:hAnsi="Calibri" w:cs="Calibri"/>
        </w:rPr>
        <w:instrText>ẓ</w:instrText>
      </w:r>
      <w:r w:rsidR="00CC5741" w:rsidRPr="00CC5741">
        <w:rPr>
          <w:rFonts w:ascii="Palatino Linotype" w:hAnsi="Palatino Linotype"/>
        </w:rPr>
        <w:instrText>annī, not on its status as revelation and sense. The contradiction that occurs between revelation and sense can ultimately be categorized as al-dakhīl fī al-tafsīr, as one of the factors that causes the authenticity of interpretation to disappear.","author":[{"dropping-particle":"","family":"Akbar","given":"Anillahi Ilham","non-dropping-particle":"","parse-names":false,"suffix":""},{"dropping-particle":"","family":"Riyadi","given":"Abdul Kadir","non-dropping-particle":"","parse-names":false,"suffix":""}],"container-title":"Qof","id":"ITEM-1","issue":"2","issued":{"date-parts":[["2022"]]},"page":"267-284","title":"Pertentangan antara Wahyu dan Akal sebagai al-Dakhīl dalam Tafsir: Kajian terhadap Kitab Dar’ Ta‘āru</w:instrText>
      </w:r>
      <w:r w:rsidR="00CC5741" w:rsidRPr="00CC5741">
        <w:rPr>
          <w:rFonts w:ascii="Calibri" w:hAnsi="Calibri" w:cs="Calibri"/>
        </w:rPr>
        <w:instrText>ḍ</w:instrText>
      </w:r>
      <w:r w:rsidR="00CC5741" w:rsidRPr="00CC5741">
        <w:rPr>
          <w:rFonts w:ascii="Palatino Linotype" w:hAnsi="Palatino Linotype"/>
        </w:rPr>
        <w:instrText xml:space="preserve"> Karya Ibn Taymiyah","type":"article-journal","volume":"6"},"uris":["http://www.mendeley.com/documents/?uuid=f656ee65-572f-4f65-8711-b2c3fd7ec18d"]}],"mendeley":{"formattedCitation":"Anillahi Ilham Akbar and Abdul Kadir Riyadi, “Pertentangan Antara Wahyu Dan Akal Sebagai Al-Dakhīl Dalam Tafsir: Kajian Terhadap Kitab Dar’ Ta‘āru</w:instrText>
      </w:r>
      <w:r w:rsidR="00CC5741" w:rsidRPr="00CC5741">
        <w:rPr>
          <w:rFonts w:ascii="Calibri" w:hAnsi="Calibri" w:cs="Calibri"/>
        </w:rPr>
        <w:instrText>ḍ</w:instrText>
      </w:r>
      <w:r w:rsidR="00CC5741" w:rsidRPr="00CC5741">
        <w:rPr>
          <w:rFonts w:ascii="Palatino Linotype" w:hAnsi="Palatino Linotype"/>
        </w:rPr>
        <w:instrText xml:space="preserve"> Karya Ibn Taymiyah,” &lt;i&gt;Qof&lt;/i&gt; 6, no. 2 (2022): 267–284.","plainTextFormattedCitation":"Anillahi Ilham Akbar and Abdul Kadir Riyadi, “Pertentangan Antara Wahyu Dan Akal Sebagai Al-Dakhīl Dalam Tafsir: Kajian Terhadap Kitab Dar’ Ta‘āru</w:instrText>
      </w:r>
      <w:r w:rsidR="00CC5741" w:rsidRPr="00CC5741">
        <w:rPr>
          <w:rFonts w:ascii="Calibri" w:hAnsi="Calibri" w:cs="Calibri"/>
        </w:rPr>
        <w:instrText>ḍ</w:instrText>
      </w:r>
      <w:r w:rsidR="00CC5741" w:rsidRPr="00CC5741">
        <w:rPr>
          <w:rFonts w:ascii="Palatino Linotype" w:hAnsi="Palatino Linotype"/>
        </w:rPr>
        <w:instrText xml:space="preserve"> Karya Ibn Taymiyah,” Qof 6, no. 2 (2022): 267–284.","previouslyFormattedCitation":"Anillahi Ilham Akbar and Abdul Kadir Riyadi, “Pertentangan Antara Wahyu Dan Akal Sebagai Al-Dakhīl Dalam Tafsir: Kajian Terhadap Kitab Dar’ Ta‘āru</w:instrText>
      </w:r>
      <w:r w:rsidR="00CC5741" w:rsidRPr="00CC5741">
        <w:rPr>
          <w:rFonts w:ascii="Calibri" w:hAnsi="Calibri" w:cs="Calibri"/>
        </w:rPr>
        <w:instrText>ḍ</w:instrText>
      </w:r>
      <w:r w:rsidR="00CC5741" w:rsidRPr="00CC5741">
        <w:rPr>
          <w:rFonts w:ascii="Palatino Linotype" w:hAnsi="Palatino Linotype"/>
        </w:rPr>
        <w:instrText xml:space="preserve"> Karya Ibn Taymiyah,” &lt;i&gt;Qof&lt;/i&gt; 6, no. 2 (2022): 267–284."},"properties":{"noteIndex":25},"schema":"https://github.com/citation-style-language/schema/raw/master/csl-citation.json"}</w:instrText>
      </w:r>
      <w:r w:rsidRPr="00CC5741">
        <w:rPr>
          <w:rFonts w:ascii="Palatino Linotype" w:hAnsi="Palatino Linotype"/>
        </w:rPr>
        <w:fldChar w:fldCharType="separate"/>
      </w:r>
      <w:r w:rsidRPr="00CC5741">
        <w:rPr>
          <w:rFonts w:ascii="Palatino Linotype" w:hAnsi="Palatino Linotype"/>
          <w:noProof/>
        </w:rPr>
        <w:t>Anillahi Ilham Akbar and Abdul Kadir Riyadi, “Pertentangan Antara Wahyu Dan Akal Sebagai Al-Dakhīl Dalam Tafsir: Kajian Terhadap Kitab Dar’ Ta‘āru</w:t>
      </w:r>
      <w:r w:rsidRPr="00CC5741">
        <w:rPr>
          <w:rFonts w:ascii="Calibri" w:hAnsi="Calibri" w:cs="Calibri"/>
          <w:noProof/>
        </w:rPr>
        <w:t>ḍ</w:t>
      </w:r>
      <w:r w:rsidRPr="00CC5741">
        <w:rPr>
          <w:rFonts w:ascii="Palatino Linotype" w:hAnsi="Palatino Linotype"/>
          <w:noProof/>
        </w:rPr>
        <w:t xml:space="preserve"> Karya Ibn Taymiyah,” </w:t>
      </w:r>
      <w:r w:rsidRPr="00CC5741">
        <w:rPr>
          <w:rFonts w:ascii="Palatino Linotype" w:hAnsi="Palatino Linotype"/>
          <w:i/>
          <w:noProof/>
        </w:rPr>
        <w:t>Qof</w:t>
      </w:r>
      <w:r w:rsidRPr="00CC5741">
        <w:rPr>
          <w:rFonts w:ascii="Palatino Linotype" w:hAnsi="Palatino Linotype"/>
          <w:noProof/>
        </w:rPr>
        <w:t xml:space="preserve"> 6, no. 2 (2022): 267–284.</w:t>
      </w:r>
      <w:r w:rsidRPr="00CC5741">
        <w:rPr>
          <w:rFonts w:ascii="Palatino Linotype" w:hAnsi="Palatino Linotype"/>
        </w:rPr>
        <w:fldChar w:fldCharType="end"/>
      </w:r>
    </w:p>
  </w:footnote>
  <w:footnote w:id="26">
    <w:p w14:paraId="2A245742" w14:textId="6BC9AEBF" w:rsidR="004978FF" w:rsidRPr="00CC5741" w:rsidRDefault="004978FF" w:rsidP="00CC5741">
      <w:pPr>
        <w:pStyle w:val="FootnoteText"/>
        <w:ind w:firstLine="720"/>
        <w:rPr>
          <w:rFonts w:ascii="Palatino Linotype" w:hAnsi="Palatino Linotype"/>
          <w:lang w:val="en-US"/>
        </w:rPr>
      </w:pPr>
      <w:r w:rsidRPr="00CC5741">
        <w:rPr>
          <w:rStyle w:val="FootnoteReference"/>
          <w:rFonts w:ascii="Palatino Linotype" w:hAnsi="Palatino Linotype"/>
        </w:rPr>
        <w:footnoteRef/>
      </w:r>
      <w:r w:rsidRPr="00CC5741">
        <w:rPr>
          <w:rFonts w:ascii="Palatino Linotype" w:hAnsi="Palatino Linotype"/>
        </w:rPr>
        <w:t xml:space="preserve"> </w:t>
      </w:r>
      <w:r w:rsidRPr="00CC5741">
        <w:rPr>
          <w:rFonts w:ascii="Palatino Linotype" w:hAnsi="Palatino Linotype"/>
        </w:rPr>
        <w:fldChar w:fldCharType="begin" w:fldLock="1"/>
      </w:r>
      <w:r w:rsidR="00CC5741" w:rsidRPr="00CC5741">
        <w:rPr>
          <w:rFonts w:ascii="Palatino Linotype" w:hAnsi="Palatino Linotype"/>
        </w:rPr>
        <w:instrText>ADDIN CSL_CITATION {"citationItems":[{"id":"ITEM-1","itemData":{"abstract":"… Seandainya kebenaran agama (wahyu) itu tidak diketahui oleh akal, namun … akal sebagai asas bagi wahyu atau dalil bagi kebenarannya. Baginya, asas kesahihan agama (wahyu) …","author":[{"dropping-particle":"","family":"Muhammad Miqdam Makfi","given":"","non-dropping-particle":"","parse-names":false,"suffix":""}],"container-title":"Prosiding Konferensi Integrasi Interkoneksi Islam dan Sains","id":"ITEM-1","issued":{"date-parts":[["2022"]]},"page":"333-339","title":"Relasi Agama Dan Sains Dalam Pemikiran Teologi Ibn Taymiyyah; Studi Kritis Buku Daru Ta'Arrudl Al-'Aql Wa Al-Naql","type":"article-journal","volume":"4"},"uris":["http://www.mendeley.com/documents/?uuid=48d4ca06-c9d6-4de9-b723-0d72cfba2a70"]}],"mendeley":{"formattedCitation":"Muhammad Miqdam Makfi, “Relasi Agama Dan Sains Dalam Pemikiran Teologi Ibn Taymiyyah; Studi Kritis Buku Daru Ta’Arrudl Al-’Aql Wa Al-Naql.”","plainTextFormattedCitation":"Muhammad Miqdam Makfi, “Relasi Agama Dan Sains Dalam Pemikiran Teologi Ibn Taymiyyah; Studi Kritis Buku Daru Ta’Arrudl Al-’Aql Wa Al-Naql.”","previouslyFormattedCitation":"Muhammad Miqdam Makfi, “Relasi Agama Dan Sains Dalam Pemikiran Teologi Ibn Taymiyyah; Studi Kritis Buku Daru Ta’Arrudl Al-’Aql Wa Al-Naql,” &lt;i&gt;Prosiding Konferensi Integrasi Interkoneksi Islam dan Sains&lt;/i&gt; 4 (2022): 333–339."},"properties":{"noteIndex":26},"schema":"https://github.com/citation-style-language/schema/raw/master/csl-citation.json"}</w:instrText>
      </w:r>
      <w:r w:rsidRPr="00CC5741">
        <w:rPr>
          <w:rFonts w:ascii="Palatino Linotype" w:hAnsi="Palatino Linotype"/>
        </w:rPr>
        <w:fldChar w:fldCharType="separate"/>
      </w:r>
      <w:r w:rsidR="00CC5741" w:rsidRPr="00CC5741">
        <w:rPr>
          <w:rFonts w:ascii="Palatino Linotype" w:hAnsi="Palatino Linotype"/>
          <w:noProof/>
        </w:rPr>
        <w:t>Muhammad Miqdam Makfi, “Relasi Agama Dan Sains Dalam Pemikiran Teologi Ibn Taymiyyah; Studi Kritis Buku Daru Ta’Arrudl Al-’Aql Wa Al-Naql.”</w:t>
      </w:r>
      <w:r w:rsidRPr="00CC5741">
        <w:rPr>
          <w:rFonts w:ascii="Palatino Linotype" w:hAnsi="Palatino Linotype"/>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9C3"/>
    <w:multiLevelType w:val="hybridMultilevel"/>
    <w:tmpl w:val="F05478AC"/>
    <w:lvl w:ilvl="0" w:tplc="BF3269BA">
      <w:start w:val="3"/>
      <w:numFmt w:val="upperLetter"/>
      <w:lvlText w:val="%1."/>
      <w:lvlJc w:val="left"/>
      <w:pPr>
        <w:tabs>
          <w:tab w:val="num" w:pos="720"/>
        </w:tabs>
        <w:ind w:left="720" w:hanging="360"/>
      </w:pPr>
    </w:lvl>
    <w:lvl w:ilvl="1" w:tplc="9524219A" w:tentative="1">
      <w:start w:val="1"/>
      <w:numFmt w:val="decimal"/>
      <w:lvlText w:val="%2."/>
      <w:lvlJc w:val="left"/>
      <w:pPr>
        <w:tabs>
          <w:tab w:val="num" w:pos="1440"/>
        </w:tabs>
        <w:ind w:left="1440" w:hanging="360"/>
      </w:pPr>
    </w:lvl>
    <w:lvl w:ilvl="2" w:tplc="98046AEA" w:tentative="1">
      <w:start w:val="1"/>
      <w:numFmt w:val="decimal"/>
      <w:lvlText w:val="%3."/>
      <w:lvlJc w:val="left"/>
      <w:pPr>
        <w:tabs>
          <w:tab w:val="num" w:pos="2160"/>
        </w:tabs>
        <w:ind w:left="2160" w:hanging="360"/>
      </w:pPr>
    </w:lvl>
    <w:lvl w:ilvl="3" w:tplc="FBE893C2" w:tentative="1">
      <w:start w:val="1"/>
      <w:numFmt w:val="decimal"/>
      <w:lvlText w:val="%4."/>
      <w:lvlJc w:val="left"/>
      <w:pPr>
        <w:tabs>
          <w:tab w:val="num" w:pos="2880"/>
        </w:tabs>
        <w:ind w:left="2880" w:hanging="360"/>
      </w:pPr>
    </w:lvl>
    <w:lvl w:ilvl="4" w:tplc="00005E7C" w:tentative="1">
      <w:start w:val="1"/>
      <w:numFmt w:val="decimal"/>
      <w:lvlText w:val="%5."/>
      <w:lvlJc w:val="left"/>
      <w:pPr>
        <w:tabs>
          <w:tab w:val="num" w:pos="3600"/>
        </w:tabs>
        <w:ind w:left="3600" w:hanging="360"/>
      </w:pPr>
    </w:lvl>
    <w:lvl w:ilvl="5" w:tplc="5588DCFC" w:tentative="1">
      <w:start w:val="1"/>
      <w:numFmt w:val="decimal"/>
      <w:lvlText w:val="%6."/>
      <w:lvlJc w:val="left"/>
      <w:pPr>
        <w:tabs>
          <w:tab w:val="num" w:pos="4320"/>
        </w:tabs>
        <w:ind w:left="4320" w:hanging="360"/>
      </w:pPr>
    </w:lvl>
    <w:lvl w:ilvl="6" w:tplc="7300391E" w:tentative="1">
      <w:start w:val="1"/>
      <w:numFmt w:val="decimal"/>
      <w:lvlText w:val="%7."/>
      <w:lvlJc w:val="left"/>
      <w:pPr>
        <w:tabs>
          <w:tab w:val="num" w:pos="5040"/>
        </w:tabs>
        <w:ind w:left="5040" w:hanging="360"/>
      </w:pPr>
    </w:lvl>
    <w:lvl w:ilvl="7" w:tplc="834C796A" w:tentative="1">
      <w:start w:val="1"/>
      <w:numFmt w:val="decimal"/>
      <w:lvlText w:val="%8."/>
      <w:lvlJc w:val="left"/>
      <w:pPr>
        <w:tabs>
          <w:tab w:val="num" w:pos="5760"/>
        </w:tabs>
        <w:ind w:left="5760" w:hanging="360"/>
      </w:pPr>
    </w:lvl>
    <w:lvl w:ilvl="8" w:tplc="4D3EB872" w:tentative="1">
      <w:start w:val="1"/>
      <w:numFmt w:val="decimal"/>
      <w:lvlText w:val="%9."/>
      <w:lvlJc w:val="left"/>
      <w:pPr>
        <w:tabs>
          <w:tab w:val="num" w:pos="6480"/>
        </w:tabs>
        <w:ind w:left="6480" w:hanging="360"/>
      </w:pPr>
    </w:lvl>
  </w:abstractNum>
  <w:abstractNum w:abstractNumId="1">
    <w:nsid w:val="0992566F"/>
    <w:multiLevelType w:val="hybridMultilevel"/>
    <w:tmpl w:val="4FA86E4E"/>
    <w:lvl w:ilvl="0" w:tplc="405ED1CE">
      <w:start w:val="2"/>
      <w:numFmt w:val="upperLetter"/>
      <w:lvlText w:val="%1."/>
      <w:lvlJc w:val="left"/>
      <w:pPr>
        <w:tabs>
          <w:tab w:val="num" w:pos="720"/>
        </w:tabs>
        <w:ind w:left="720" w:hanging="360"/>
      </w:pPr>
    </w:lvl>
    <w:lvl w:ilvl="1" w:tplc="55B6AF12" w:tentative="1">
      <w:start w:val="1"/>
      <w:numFmt w:val="decimal"/>
      <w:lvlText w:val="%2."/>
      <w:lvlJc w:val="left"/>
      <w:pPr>
        <w:tabs>
          <w:tab w:val="num" w:pos="1440"/>
        </w:tabs>
        <w:ind w:left="1440" w:hanging="360"/>
      </w:pPr>
    </w:lvl>
    <w:lvl w:ilvl="2" w:tplc="C280494C" w:tentative="1">
      <w:start w:val="1"/>
      <w:numFmt w:val="decimal"/>
      <w:lvlText w:val="%3."/>
      <w:lvlJc w:val="left"/>
      <w:pPr>
        <w:tabs>
          <w:tab w:val="num" w:pos="2160"/>
        </w:tabs>
        <w:ind w:left="2160" w:hanging="360"/>
      </w:pPr>
    </w:lvl>
    <w:lvl w:ilvl="3" w:tplc="79A073D4" w:tentative="1">
      <w:start w:val="1"/>
      <w:numFmt w:val="decimal"/>
      <w:lvlText w:val="%4."/>
      <w:lvlJc w:val="left"/>
      <w:pPr>
        <w:tabs>
          <w:tab w:val="num" w:pos="2880"/>
        </w:tabs>
        <w:ind w:left="2880" w:hanging="360"/>
      </w:pPr>
    </w:lvl>
    <w:lvl w:ilvl="4" w:tplc="0A026878" w:tentative="1">
      <w:start w:val="1"/>
      <w:numFmt w:val="decimal"/>
      <w:lvlText w:val="%5."/>
      <w:lvlJc w:val="left"/>
      <w:pPr>
        <w:tabs>
          <w:tab w:val="num" w:pos="3600"/>
        </w:tabs>
        <w:ind w:left="3600" w:hanging="360"/>
      </w:pPr>
    </w:lvl>
    <w:lvl w:ilvl="5" w:tplc="31E0BF2C" w:tentative="1">
      <w:start w:val="1"/>
      <w:numFmt w:val="decimal"/>
      <w:lvlText w:val="%6."/>
      <w:lvlJc w:val="left"/>
      <w:pPr>
        <w:tabs>
          <w:tab w:val="num" w:pos="4320"/>
        </w:tabs>
        <w:ind w:left="4320" w:hanging="360"/>
      </w:pPr>
    </w:lvl>
    <w:lvl w:ilvl="6" w:tplc="7F568264" w:tentative="1">
      <w:start w:val="1"/>
      <w:numFmt w:val="decimal"/>
      <w:lvlText w:val="%7."/>
      <w:lvlJc w:val="left"/>
      <w:pPr>
        <w:tabs>
          <w:tab w:val="num" w:pos="5040"/>
        </w:tabs>
        <w:ind w:left="5040" w:hanging="360"/>
      </w:pPr>
    </w:lvl>
    <w:lvl w:ilvl="7" w:tplc="C9DCAEB0" w:tentative="1">
      <w:start w:val="1"/>
      <w:numFmt w:val="decimal"/>
      <w:lvlText w:val="%8."/>
      <w:lvlJc w:val="left"/>
      <w:pPr>
        <w:tabs>
          <w:tab w:val="num" w:pos="5760"/>
        </w:tabs>
        <w:ind w:left="5760" w:hanging="360"/>
      </w:pPr>
    </w:lvl>
    <w:lvl w:ilvl="8" w:tplc="247C2970" w:tentative="1">
      <w:start w:val="1"/>
      <w:numFmt w:val="decimal"/>
      <w:lvlText w:val="%9."/>
      <w:lvlJc w:val="left"/>
      <w:pPr>
        <w:tabs>
          <w:tab w:val="num" w:pos="6480"/>
        </w:tabs>
        <w:ind w:left="6480" w:hanging="360"/>
      </w:pPr>
    </w:lvl>
  </w:abstractNum>
  <w:abstractNum w:abstractNumId="2">
    <w:nsid w:val="153846F1"/>
    <w:multiLevelType w:val="hybridMultilevel"/>
    <w:tmpl w:val="C2B2D75A"/>
    <w:lvl w:ilvl="0" w:tplc="197C1EE0">
      <w:start w:val="5"/>
      <w:numFmt w:val="upperLetter"/>
      <w:lvlText w:val="%1."/>
      <w:lvlJc w:val="left"/>
      <w:pPr>
        <w:tabs>
          <w:tab w:val="num" w:pos="720"/>
        </w:tabs>
        <w:ind w:left="720" w:hanging="360"/>
      </w:pPr>
    </w:lvl>
    <w:lvl w:ilvl="1" w:tplc="F1584522" w:tentative="1">
      <w:start w:val="1"/>
      <w:numFmt w:val="decimal"/>
      <w:lvlText w:val="%2."/>
      <w:lvlJc w:val="left"/>
      <w:pPr>
        <w:tabs>
          <w:tab w:val="num" w:pos="1440"/>
        </w:tabs>
        <w:ind w:left="1440" w:hanging="360"/>
      </w:pPr>
    </w:lvl>
    <w:lvl w:ilvl="2" w:tplc="92E285DE" w:tentative="1">
      <w:start w:val="1"/>
      <w:numFmt w:val="decimal"/>
      <w:lvlText w:val="%3."/>
      <w:lvlJc w:val="left"/>
      <w:pPr>
        <w:tabs>
          <w:tab w:val="num" w:pos="2160"/>
        </w:tabs>
        <w:ind w:left="2160" w:hanging="360"/>
      </w:pPr>
    </w:lvl>
    <w:lvl w:ilvl="3" w:tplc="2FC2A8C4" w:tentative="1">
      <w:start w:val="1"/>
      <w:numFmt w:val="decimal"/>
      <w:lvlText w:val="%4."/>
      <w:lvlJc w:val="left"/>
      <w:pPr>
        <w:tabs>
          <w:tab w:val="num" w:pos="2880"/>
        </w:tabs>
        <w:ind w:left="2880" w:hanging="360"/>
      </w:pPr>
    </w:lvl>
    <w:lvl w:ilvl="4" w:tplc="0980F406" w:tentative="1">
      <w:start w:val="1"/>
      <w:numFmt w:val="decimal"/>
      <w:lvlText w:val="%5."/>
      <w:lvlJc w:val="left"/>
      <w:pPr>
        <w:tabs>
          <w:tab w:val="num" w:pos="3600"/>
        </w:tabs>
        <w:ind w:left="3600" w:hanging="360"/>
      </w:pPr>
    </w:lvl>
    <w:lvl w:ilvl="5" w:tplc="2A1CE5C8" w:tentative="1">
      <w:start w:val="1"/>
      <w:numFmt w:val="decimal"/>
      <w:lvlText w:val="%6."/>
      <w:lvlJc w:val="left"/>
      <w:pPr>
        <w:tabs>
          <w:tab w:val="num" w:pos="4320"/>
        </w:tabs>
        <w:ind w:left="4320" w:hanging="360"/>
      </w:pPr>
    </w:lvl>
    <w:lvl w:ilvl="6" w:tplc="CE5E7FB4" w:tentative="1">
      <w:start w:val="1"/>
      <w:numFmt w:val="decimal"/>
      <w:lvlText w:val="%7."/>
      <w:lvlJc w:val="left"/>
      <w:pPr>
        <w:tabs>
          <w:tab w:val="num" w:pos="5040"/>
        </w:tabs>
        <w:ind w:left="5040" w:hanging="360"/>
      </w:pPr>
    </w:lvl>
    <w:lvl w:ilvl="7" w:tplc="C52239D2" w:tentative="1">
      <w:start w:val="1"/>
      <w:numFmt w:val="decimal"/>
      <w:lvlText w:val="%8."/>
      <w:lvlJc w:val="left"/>
      <w:pPr>
        <w:tabs>
          <w:tab w:val="num" w:pos="5760"/>
        </w:tabs>
        <w:ind w:left="5760" w:hanging="360"/>
      </w:pPr>
    </w:lvl>
    <w:lvl w:ilvl="8" w:tplc="85E2D832" w:tentative="1">
      <w:start w:val="1"/>
      <w:numFmt w:val="decimal"/>
      <w:lvlText w:val="%9."/>
      <w:lvlJc w:val="left"/>
      <w:pPr>
        <w:tabs>
          <w:tab w:val="num" w:pos="6480"/>
        </w:tabs>
        <w:ind w:left="6480" w:hanging="360"/>
      </w:pPr>
    </w:lvl>
  </w:abstractNum>
  <w:abstractNum w:abstractNumId="3">
    <w:nsid w:val="1A001C32"/>
    <w:multiLevelType w:val="multilevel"/>
    <w:tmpl w:val="D9B8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D4364"/>
    <w:multiLevelType w:val="multilevel"/>
    <w:tmpl w:val="38F8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25048"/>
    <w:multiLevelType w:val="hybridMultilevel"/>
    <w:tmpl w:val="51E4E6FC"/>
    <w:lvl w:ilvl="0" w:tplc="DD466970">
      <w:start w:val="4"/>
      <w:numFmt w:val="upperLetter"/>
      <w:lvlText w:val="%1."/>
      <w:lvlJc w:val="left"/>
      <w:pPr>
        <w:tabs>
          <w:tab w:val="num" w:pos="720"/>
        </w:tabs>
        <w:ind w:left="720" w:hanging="360"/>
      </w:pPr>
    </w:lvl>
    <w:lvl w:ilvl="1" w:tplc="6748C8DA" w:tentative="1">
      <w:start w:val="1"/>
      <w:numFmt w:val="decimal"/>
      <w:lvlText w:val="%2."/>
      <w:lvlJc w:val="left"/>
      <w:pPr>
        <w:tabs>
          <w:tab w:val="num" w:pos="1440"/>
        </w:tabs>
        <w:ind w:left="1440" w:hanging="360"/>
      </w:pPr>
    </w:lvl>
    <w:lvl w:ilvl="2" w:tplc="06A2F73C" w:tentative="1">
      <w:start w:val="1"/>
      <w:numFmt w:val="decimal"/>
      <w:lvlText w:val="%3."/>
      <w:lvlJc w:val="left"/>
      <w:pPr>
        <w:tabs>
          <w:tab w:val="num" w:pos="2160"/>
        </w:tabs>
        <w:ind w:left="2160" w:hanging="360"/>
      </w:pPr>
    </w:lvl>
    <w:lvl w:ilvl="3" w:tplc="624688EA" w:tentative="1">
      <w:start w:val="1"/>
      <w:numFmt w:val="decimal"/>
      <w:lvlText w:val="%4."/>
      <w:lvlJc w:val="left"/>
      <w:pPr>
        <w:tabs>
          <w:tab w:val="num" w:pos="2880"/>
        </w:tabs>
        <w:ind w:left="2880" w:hanging="360"/>
      </w:pPr>
    </w:lvl>
    <w:lvl w:ilvl="4" w:tplc="180E3DC8" w:tentative="1">
      <w:start w:val="1"/>
      <w:numFmt w:val="decimal"/>
      <w:lvlText w:val="%5."/>
      <w:lvlJc w:val="left"/>
      <w:pPr>
        <w:tabs>
          <w:tab w:val="num" w:pos="3600"/>
        </w:tabs>
        <w:ind w:left="3600" w:hanging="360"/>
      </w:pPr>
    </w:lvl>
    <w:lvl w:ilvl="5" w:tplc="7B667F26" w:tentative="1">
      <w:start w:val="1"/>
      <w:numFmt w:val="decimal"/>
      <w:lvlText w:val="%6."/>
      <w:lvlJc w:val="left"/>
      <w:pPr>
        <w:tabs>
          <w:tab w:val="num" w:pos="4320"/>
        </w:tabs>
        <w:ind w:left="4320" w:hanging="360"/>
      </w:pPr>
    </w:lvl>
    <w:lvl w:ilvl="6" w:tplc="51E2C426" w:tentative="1">
      <w:start w:val="1"/>
      <w:numFmt w:val="decimal"/>
      <w:lvlText w:val="%7."/>
      <w:lvlJc w:val="left"/>
      <w:pPr>
        <w:tabs>
          <w:tab w:val="num" w:pos="5040"/>
        </w:tabs>
        <w:ind w:left="5040" w:hanging="360"/>
      </w:pPr>
    </w:lvl>
    <w:lvl w:ilvl="7" w:tplc="80BC456C" w:tentative="1">
      <w:start w:val="1"/>
      <w:numFmt w:val="decimal"/>
      <w:lvlText w:val="%8."/>
      <w:lvlJc w:val="left"/>
      <w:pPr>
        <w:tabs>
          <w:tab w:val="num" w:pos="5760"/>
        </w:tabs>
        <w:ind w:left="5760" w:hanging="360"/>
      </w:pPr>
    </w:lvl>
    <w:lvl w:ilvl="8" w:tplc="8E7A5406" w:tentative="1">
      <w:start w:val="1"/>
      <w:numFmt w:val="decimal"/>
      <w:lvlText w:val="%9."/>
      <w:lvlJc w:val="left"/>
      <w:pPr>
        <w:tabs>
          <w:tab w:val="num" w:pos="6480"/>
        </w:tabs>
        <w:ind w:left="6480" w:hanging="360"/>
      </w:pPr>
    </w:lvl>
  </w:abstractNum>
  <w:abstractNum w:abstractNumId="6">
    <w:nsid w:val="2BC90849"/>
    <w:multiLevelType w:val="multilevel"/>
    <w:tmpl w:val="FA3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212CA"/>
    <w:multiLevelType w:val="hybridMultilevel"/>
    <w:tmpl w:val="EF52AF38"/>
    <w:lvl w:ilvl="0" w:tplc="A58EB958">
      <w:start w:val="6"/>
      <w:numFmt w:val="upperLetter"/>
      <w:lvlText w:val="%1."/>
      <w:lvlJc w:val="left"/>
      <w:pPr>
        <w:tabs>
          <w:tab w:val="num" w:pos="720"/>
        </w:tabs>
        <w:ind w:left="720" w:hanging="360"/>
      </w:pPr>
    </w:lvl>
    <w:lvl w:ilvl="1" w:tplc="0CB82A52" w:tentative="1">
      <w:start w:val="1"/>
      <w:numFmt w:val="decimal"/>
      <w:lvlText w:val="%2."/>
      <w:lvlJc w:val="left"/>
      <w:pPr>
        <w:tabs>
          <w:tab w:val="num" w:pos="1440"/>
        </w:tabs>
        <w:ind w:left="1440" w:hanging="360"/>
      </w:pPr>
    </w:lvl>
    <w:lvl w:ilvl="2" w:tplc="D0501D94" w:tentative="1">
      <w:start w:val="1"/>
      <w:numFmt w:val="decimal"/>
      <w:lvlText w:val="%3."/>
      <w:lvlJc w:val="left"/>
      <w:pPr>
        <w:tabs>
          <w:tab w:val="num" w:pos="2160"/>
        </w:tabs>
        <w:ind w:left="2160" w:hanging="360"/>
      </w:pPr>
    </w:lvl>
    <w:lvl w:ilvl="3" w:tplc="31444766" w:tentative="1">
      <w:start w:val="1"/>
      <w:numFmt w:val="decimal"/>
      <w:lvlText w:val="%4."/>
      <w:lvlJc w:val="left"/>
      <w:pPr>
        <w:tabs>
          <w:tab w:val="num" w:pos="2880"/>
        </w:tabs>
        <w:ind w:left="2880" w:hanging="360"/>
      </w:pPr>
    </w:lvl>
    <w:lvl w:ilvl="4" w:tplc="63B47C2C" w:tentative="1">
      <w:start w:val="1"/>
      <w:numFmt w:val="decimal"/>
      <w:lvlText w:val="%5."/>
      <w:lvlJc w:val="left"/>
      <w:pPr>
        <w:tabs>
          <w:tab w:val="num" w:pos="3600"/>
        </w:tabs>
        <w:ind w:left="3600" w:hanging="360"/>
      </w:pPr>
    </w:lvl>
    <w:lvl w:ilvl="5" w:tplc="0E504EB6" w:tentative="1">
      <w:start w:val="1"/>
      <w:numFmt w:val="decimal"/>
      <w:lvlText w:val="%6."/>
      <w:lvlJc w:val="left"/>
      <w:pPr>
        <w:tabs>
          <w:tab w:val="num" w:pos="4320"/>
        </w:tabs>
        <w:ind w:left="4320" w:hanging="360"/>
      </w:pPr>
    </w:lvl>
    <w:lvl w:ilvl="6" w:tplc="1BD073D6" w:tentative="1">
      <w:start w:val="1"/>
      <w:numFmt w:val="decimal"/>
      <w:lvlText w:val="%7."/>
      <w:lvlJc w:val="left"/>
      <w:pPr>
        <w:tabs>
          <w:tab w:val="num" w:pos="5040"/>
        </w:tabs>
        <w:ind w:left="5040" w:hanging="360"/>
      </w:pPr>
    </w:lvl>
    <w:lvl w:ilvl="7" w:tplc="46882276" w:tentative="1">
      <w:start w:val="1"/>
      <w:numFmt w:val="decimal"/>
      <w:lvlText w:val="%8."/>
      <w:lvlJc w:val="left"/>
      <w:pPr>
        <w:tabs>
          <w:tab w:val="num" w:pos="5760"/>
        </w:tabs>
        <w:ind w:left="5760" w:hanging="360"/>
      </w:pPr>
    </w:lvl>
    <w:lvl w:ilvl="8" w:tplc="5748BA1C" w:tentative="1">
      <w:start w:val="1"/>
      <w:numFmt w:val="decimal"/>
      <w:lvlText w:val="%9."/>
      <w:lvlJc w:val="left"/>
      <w:pPr>
        <w:tabs>
          <w:tab w:val="num" w:pos="6480"/>
        </w:tabs>
        <w:ind w:left="6480" w:hanging="360"/>
      </w:pPr>
    </w:lvl>
  </w:abstractNum>
  <w:abstractNum w:abstractNumId="8">
    <w:nsid w:val="45D0057F"/>
    <w:multiLevelType w:val="multilevel"/>
    <w:tmpl w:val="25A8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0126D"/>
    <w:multiLevelType w:val="multilevel"/>
    <w:tmpl w:val="1FF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9029A"/>
    <w:multiLevelType w:val="multilevel"/>
    <w:tmpl w:val="1640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A6724"/>
    <w:multiLevelType w:val="multilevel"/>
    <w:tmpl w:val="438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60C9F"/>
    <w:multiLevelType w:val="multilevel"/>
    <w:tmpl w:val="C0B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C69BA"/>
    <w:multiLevelType w:val="hybridMultilevel"/>
    <w:tmpl w:val="B10C8578"/>
    <w:lvl w:ilvl="0" w:tplc="E8442D2E">
      <w:start w:val="7"/>
      <w:numFmt w:val="upperLetter"/>
      <w:lvlText w:val="%1."/>
      <w:lvlJc w:val="left"/>
      <w:pPr>
        <w:tabs>
          <w:tab w:val="num" w:pos="720"/>
        </w:tabs>
        <w:ind w:left="720" w:hanging="360"/>
      </w:pPr>
    </w:lvl>
    <w:lvl w:ilvl="1" w:tplc="8F08B62A" w:tentative="1">
      <w:start w:val="1"/>
      <w:numFmt w:val="decimal"/>
      <w:lvlText w:val="%2."/>
      <w:lvlJc w:val="left"/>
      <w:pPr>
        <w:tabs>
          <w:tab w:val="num" w:pos="1440"/>
        </w:tabs>
        <w:ind w:left="1440" w:hanging="360"/>
      </w:pPr>
    </w:lvl>
    <w:lvl w:ilvl="2" w:tplc="FCB8AD4C" w:tentative="1">
      <w:start w:val="1"/>
      <w:numFmt w:val="decimal"/>
      <w:lvlText w:val="%3."/>
      <w:lvlJc w:val="left"/>
      <w:pPr>
        <w:tabs>
          <w:tab w:val="num" w:pos="2160"/>
        </w:tabs>
        <w:ind w:left="2160" w:hanging="360"/>
      </w:pPr>
    </w:lvl>
    <w:lvl w:ilvl="3" w:tplc="AACE45C8" w:tentative="1">
      <w:start w:val="1"/>
      <w:numFmt w:val="decimal"/>
      <w:lvlText w:val="%4."/>
      <w:lvlJc w:val="left"/>
      <w:pPr>
        <w:tabs>
          <w:tab w:val="num" w:pos="2880"/>
        </w:tabs>
        <w:ind w:left="2880" w:hanging="360"/>
      </w:pPr>
    </w:lvl>
    <w:lvl w:ilvl="4" w:tplc="8A66D208" w:tentative="1">
      <w:start w:val="1"/>
      <w:numFmt w:val="decimal"/>
      <w:lvlText w:val="%5."/>
      <w:lvlJc w:val="left"/>
      <w:pPr>
        <w:tabs>
          <w:tab w:val="num" w:pos="3600"/>
        </w:tabs>
        <w:ind w:left="3600" w:hanging="360"/>
      </w:pPr>
    </w:lvl>
    <w:lvl w:ilvl="5" w:tplc="2E10966A" w:tentative="1">
      <w:start w:val="1"/>
      <w:numFmt w:val="decimal"/>
      <w:lvlText w:val="%6."/>
      <w:lvlJc w:val="left"/>
      <w:pPr>
        <w:tabs>
          <w:tab w:val="num" w:pos="4320"/>
        </w:tabs>
        <w:ind w:left="4320" w:hanging="360"/>
      </w:pPr>
    </w:lvl>
    <w:lvl w:ilvl="6" w:tplc="DD28D3D8" w:tentative="1">
      <w:start w:val="1"/>
      <w:numFmt w:val="decimal"/>
      <w:lvlText w:val="%7."/>
      <w:lvlJc w:val="left"/>
      <w:pPr>
        <w:tabs>
          <w:tab w:val="num" w:pos="5040"/>
        </w:tabs>
        <w:ind w:left="5040" w:hanging="360"/>
      </w:pPr>
    </w:lvl>
    <w:lvl w:ilvl="7" w:tplc="BCE2E430" w:tentative="1">
      <w:start w:val="1"/>
      <w:numFmt w:val="decimal"/>
      <w:lvlText w:val="%8."/>
      <w:lvlJc w:val="left"/>
      <w:pPr>
        <w:tabs>
          <w:tab w:val="num" w:pos="5760"/>
        </w:tabs>
        <w:ind w:left="5760" w:hanging="360"/>
      </w:pPr>
    </w:lvl>
    <w:lvl w:ilvl="8" w:tplc="AC40A848" w:tentative="1">
      <w:start w:val="1"/>
      <w:numFmt w:val="decimal"/>
      <w:lvlText w:val="%9."/>
      <w:lvlJc w:val="left"/>
      <w:pPr>
        <w:tabs>
          <w:tab w:val="num" w:pos="6480"/>
        </w:tabs>
        <w:ind w:left="6480" w:hanging="360"/>
      </w:pPr>
    </w:lvl>
  </w:abstractNum>
  <w:abstractNum w:abstractNumId="14">
    <w:nsid w:val="6BBF5A89"/>
    <w:multiLevelType w:val="multilevel"/>
    <w:tmpl w:val="E3B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00412"/>
    <w:multiLevelType w:val="hybridMultilevel"/>
    <w:tmpl w:val="99E2223E"/>
    <w:lvl w:ilvl="0" w:tplc="8E9C5DC2">
      <w:start w:val="1"/>
      <w:numFmt w:val="decimal"/>
      <w:lvlText w:val="%1."/>
      <w:lvlJc w:val="left"/>
      <w:pPr>
        <w:ind w:left="1440" w:hanging="360"/>
      </w:pPr>
      <w:rPr>
        <w:rFonts w:cs="Myriad عربي"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8"/>
    <w:lvlOverride w:ilvl="0">
      <w:lvl w:ilvl="0">
        <w:numFmt w:val="upperLetter"/>
        <w:lvlText w:val="%1."/>
        <w:lvlJc w:val="left"/>
      </w:lvl>
    </w:lvlOverride>
  </w:num>
  <w:num w:numId="2">
    <w:abstractNumId w:val="11"/>
  </w:num>
  <w:num w:numId="3">
    <w:abstractNumId w:val="1"/>
  </w:num>
  <w:num w:numId="4">
    <w:abstractNumId w:val="12"/>
  </w:num>
  <w:num w:numId="5">
    <w:abstractNumId w:val="3"/>
  </w:num>
  <w:num w:numId="6">
    <w:abstractNumId w:val="4"/>
  </w:num>
  <w:num w:numId="7">
    <w:abstractNumId w:val="0"/>
  </w:num>
  <w:num w:numId="8">
    <w:abstractNumId w:val="10"/>
  </w:num>
  <w:num w:numId="9">
    <w:abstractNumId w:val="5"/>
  </w:num>
  <w:num w:numId="10">
    <w:abstractNumId w:val="9"/>
  </w:num>
  <w:num w:numId="11">
    <w:abstractNumId w:val="2"/>
  </w:num>
  <w:num w:numId="12">
    <w:abstractNumId w:val="14"/>
  </w:num>
  <w:num w:numId="13">
    <w:abstractNumId w:val="7"/>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09"/>
    <w:rsid w:val="000176FD"/>
    <w:rsid w:val="00053669"/>
    <w:rsid w:val="000C2E43"/>
    <w:rsid w:val="00141233"/>
    <w:rsid w:val="002173C5"/>
    <w:rsid w:val="002726B8"/>
    <w:rsid w:val="00295F33"/>
    <w:rsid w:val="002F1309"/>
    <w:rsid w:val="00317D2B"/>
    <w:rsid w:val="004978FF"/>
    <w:rsid w:val="004F6011"/>
    <w:rsid w:val="004F623F"/>
    <w:rsid w:val="00506A31"/>
    <w:rsid w:val="00563A60"/>
    <w:rsid w:val="00621DE0"/>
    <w:rsid w:val="006C0C3E"/>
    <w:rsid w:val="00714B91"/>
    <w:rsid w:val="00716AFE"/>
    <w:rsid w:val="00761EA6"/>
    <w:rsid w:val="0077080A"/>
    <w:rsid w:val="007A1008"/>
    <w:rsid w:val="00901638"/>
    <w:rsid w:val="00917AFB"/>
    <w:rsid w:val="00A406B7"/>
    <w:rsid w:val="00A46CDF"/>
    <w:rsid w:val="00AA17DE"/>
    <w:rsid w:val="00AD7EED"/>
    <w:rsid w:val="00C84844"/>
    <w:rsid w:val="00CC206C"/>
    <w:rsid w:val="00CC5741"/>
    <w:rsid w:val="00D05783"/>
    <w:rsid w:val="00DD403E"/>
    <w:rsid w:val="00E157B6"/>
    <w:rsid w:val="00E20366"/>
    <w:rsid w:val="00E27FD3"/>
    <w:rsid w:val="00EF1651"/>
    <w:rsid w:val="00F05919"/>
    <w:rsid w:val="00F35657"/>
    <w:rsid w:val="00F66E24"/>
    <w:rsid w:val="00FA3BAE"/>
    <w:rsid w:val="00FD4CC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F1309"/>
    <w:rPr>
      <w:rFonts w:ascii="Calibri" w:hAnsi="Calibri" w:cs="Calibri" w:hint="default"/>
      <w:b w:val="0"/>
      <w:bCs w:val="0"/>
      <w:i w:val="0"/>
      <w:iCs w:val="0"/>
      <w:color w:val="000000"/>
      <w:sz w:val="24"/>
      <w:szCs w:val="24"/>
    </w:rPr>
  </w:style>
  <w:style w:type="character" w:styleId="Hyperlink">
    <w:name w:val="Hyperlink"/>
    <w:basedOn w:val="DefaultParagraphFont"/>
    <w:uiPriority w:val="99"/>
    <w:unhideWhenUsed/>
    <w:rsid w:val="002F1309"/>
    <w:rPr>
      <w:color w:val="0563C1" w:themeColor="hyperlink"/>
      <w:u w:val="single"/>
    </w:rPr>
  </w:style>
  <w:style w:type="paragraph" w:styleId="NormalWeb">
    <w:name w:val="Normal (Web)"/>
    <w:basedOn w:val="Normal"/>
    <w:uiPriority w:val="99"/>
    <w:unhideWhenUsed/>
    <w:rsid w:val="002F1309"/>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apple-tab-span">
    <w:name w:val="apple-tab-span"/>
    <w:basedOn w:val="DefaultParagraphFont"/>
    <w:rsid w:val="002F1309"/>
  </w:style>
  <w:style w:type="paragraph" w:styleId="FootnoteText">
    <w:name w:val="footnote text"/>
    <w:basedOn w:val="Normal"/>
    <w:link w:val="FootnoteTextChar"/>
    <w:uiPriority w:val="99"/>
    <w:semiHidden/>
    <w:unhideWhenUsed/>
    <w:rsid w:val="00295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F33"/>
    <w:rPr>
      <w:sz w:val="20"/>
      <w:szCs w:val="20"/>
    </w:rPr>
  </w:style>
  <w:style w:type="character" w:styleId="FootnoteReference">
    <w:name w:val="footnote reference"/>
    <w:basedOn w:val="DefaultParagraphFont"/>
    <w:uiPriority w:val="99"/>
    <w:semiHidden/>
    <w:unhideWhenUsed/>
    <w:rsid w:val="00295F33"/>
    <w:rPr>
      <w:vertAlign w:val="superscript"/>
    </w:rPr>
  </w:style>
  <w:style w:type="paragraph" w:styleId="ListParagraph">
    <w:name w:val="List Paragraph"/>
    <w:basedOn w:val="Normal"/>
    <w:uiPriority w:val="34"/>
    <w:qFormat/>
    <w:rsid w:val="00CC206C"/>
    <w:pPr>
      <w:ind w:left="720"/>
      <w:contextualSpacing/>
    </w:pPr>
  </w:style>
  <w:style w:type="character" w:customStyle="1" w:styleId="fontstyle21">
    <w:name w:val="fontstyle21"/>
    <w:basedOn w:val="DefaultParagraphFont"/>
    <w:rsid w:val="00CC206C"/>
    <w:rPr>
      <w:rFonts w:ascii="Calibri-Italic" w:hAnsi="Calibri-Italic"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F1309"/>
    <w:rPr>
      <w:rFonts w:ascii="Calibri" w:hAnsi="Calibri" w:cs="Calibri" w:hint="default"/>
      <w:b w:val="0"/>
      <w:bCs w:val="0"/>
      <w:i w:val="0"/>
      <w:iCs w:val="0"/>
      <w:color w:val="000000"/>
      <w:sz w:val="24"/>
      <w:szCs w:val="24"/>
    </w:rPr>
  </w:style>
  <w:style w:type="character" w:styleId="Hyperlink">
    <w:name w:val="Hyperlink"/>
    <w:basedOn w:val="DefaultParagraphFont"/>
    <w:uiPriority w:val="99"/>
    <w:unhideWhenUsed/>
    <w:rsid w:val="002F1309"/>
    <w:rPr>
      <w:color w:val="0563C1" w:themeColor="hyperlink"/>
      <w:u w:val="single"/>
    </w:rPr>
  </w:style>
  <w:style w:type="paragraph" w:styleId="NormalWeb">
    <w:name w:val="Normal (Web)"/>
    <w:basedOn w:val="Normal"/>
    <w:uiPriority w:val="99"/>
    <w:unhideWhenUsed/>
    <w:rsid w:val="002F1309"/>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apple-tab-span">
    <w:name w:val="apple-tab-span"/>
    <w:basedOn w:val="DefaultParagraphFont"/>
    <w:rsid w:val="002F1309"/>
  </w:style>
  <w:style w:type="paragraph" w:styleId="FootnoteText">
    <w:name w:val="footnote text"/>
    <w:basedOn w:val="Normal"/>
    <w:link w:val="FootnoteTextChar"/>
    <w:uiPriority w:val="99"/>
    <w:semiHidden/>
    <w:unhideWhenUsed/>
    <w:rsid w:val="00295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F33"/>
    <w:rPr>
      <w:sz w:val="20"/>
      <w:szCs w:val="20"/>
    </w:rPr>
  </w:style>
  <w:style w:type="character" w:styleId="FootnoteReference">
    <w:name w:val="footnote reference"/>
    <w:basedOn w:val="DefaultParagraphFont"/>
    <w:uiPriority w:val="99"/>
    <w:semiHidden/>
    <w:unhideWhenUsed/>
    <w:rsid w:val="00295F33"/>
    <w:rPr>
      <w:vertAlign w:val="superscript"/>
    </w:rPr>
  </w:style>
  <w:style w:type="paragraph" w:styleId="ListParagraph">
    <w:name w:val="List Paragraph"/>
    <w:basedOn w:val="Normal"/>
    <w:uiPriority w:val="34"/>
    <w:qFormat/>
    <w:rsid w:val="00CC206C"/>
    <w:pPr>
      <w:ind w:left="720"/>
      <w:contextualSpacing/>
    </w:pPr>
  </w:style>
  <w:style w:type="character" w:customStyle="1" w:styleId="fontstyle21">
    <w:name w:val="fontstyle21"/>
    <w:basedOn w:val="DefaultParagraphFont"/>
    <w:rsid w:val="00CC206C"/>
    <w:rPr>
      <w:rFonts w:ascii="Calibri-Italic" w:hAnsi="Calibri-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0329">
      <w:bodyDiv w:val="1"/>
      <w:marLeft w:val="0"/>
      <w:marRight w:val="0"/>
      <w:marTop w:val="0"/>
      <w:marBottom w:val="0"/>
      <w:divBdr>
        <w:top w:val="none" w:sz="0" w:space="0" w:color="auto"/>
        <w:left w:val="none" w:sz="0" w:space="0" w:color="auto"/>
        <w:bottom w:val="none" w:sz="0" w:space="0" w:color="auto"/>
        <w:right w:val="none" w:sz="0" w:space="0" w:color="auto"/>
      </w:divBdr>
    </w:div>
    <w:div w:id="889919939">
      <w:bodyDiv w:val="1"/>
      <w:marLeft w:val="0"/>
      <w:marRight w:val="0"/>
      <w:marTop w:val="0"/>
      <w:marBottom w:val="0"/>
      <w:divBdr>
        <w:top w:val="none" w:sz="0" w:space="0" w:color="auto"/>
        <w:left w:val="none" w:sz="0" w:space="0" w:color="auto"/>
        <w:bottom w:val="none" w:sz="0" w:space="0" w:color="auto"/>
        <w:right w:val="none" w:sz="0" w:space="0" w:color="auto"/>
      </w:divBdr>
      <w:divsChild>
        <w:div w:id="1395546980">
          <w:marLeft w:val="0"/>
          <w:marRight w:val="0"/>
          <w:marTop w:val="0"/>
          <w:marBottom w:val="0"/>
          <w:divBdr>
            <w:top w:val="none" w:sz="0" w:space="0" w:color="auto"/>
            <w:left w:val="none" w:sz="0" w:space="0" w:color="auto"/>
            <w:bottom w:val="none" w:sz="0" w:space="0" w:color="auto"/>
            <w:right w:val="none" w:sz="0" w:space="0" w:color="auto"/>
          </w:divBdr>
        </w:div>
      </w:divsChild>
    </w:div>
    <w:div w:id="1700623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32622102.ila@uinbante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F5D8-8744-405D-B1F9-E760753B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Illafadliya19@outlook.com</dc:creator>
  <cp:lastModifiedBy>User</cp:lastModifiedBy>
  <cp:revision>2</cp:revision>
  <dcterms:created xsi:type="dcterms:W3CDTF">2024-02-19T05:08:00Z</dcterms:created>
  <dcterms:modified xsi:type="dcterms:W3CDTF">2024-02-19T05:08:00Z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http://www.zotero.org/styles/turabian-fullnote-bibliography-8th-edition</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bf02bfe7-33b5-341b-be0d-5f5c2c33535f</vt:lpwstr>
  </property>
  <property fmtid="{D5CDD505-2E9C-101B-9397-08002B2CF9AE}" pid="24" name="Mendeley Citation Style_1">
    <vt:lpwstr>http://www.zotero.org/styles/turabian-fullnote-bibliography-8th-edition</vt:lpwstr>
  </property>
</Properties>
</file>