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5AF1" w14:textId="77777777" w:rsidR="00E15EC4" w:rsidRPr="00B1444B" w:rsidRDefault="006E6EC6" w:rsidP="00B1444B">
      <w:pPr>
        <w:pStyle w:val="Title"/>
        <w:spacing w:line="360" w:lineRule="auto"/>
        <w:jc w:val="center"/>
      </w:pPr>
      <w:bookmarkStart w:id="0" w:name="_GoBack"/>
      <w:r w:rsidRPr="00E15EC4">
        <w:rPr>
          <w:noProof/>
          <w:lang w:val="en-US" w:eastAsia="en-US"/>
        </w:rPr>
        <w:drawing>
          <wp:anchor distT="0" distB="0" distL="114300" distR="114300" simplePos="0" relativeHeight="251667456" behindDoc="1" locked="0" layoutInCell="1" allowOverlap="1" wp14:anchorId="2828A294" wp14:editId="39F1C090">
            <wp:simplePos x="0" y="0"/>
            <wp:positionH relativeFrom="column">
              <wp:posOffset>24765</wp:posOffset>
            </wp:positionH>
            <wp:positionV relativeFrom="paragraph">
              <wp:posOffset>-1186180</wp:posOffset>
            </wp:positionV>
            <wp:extent cx="1524000" cy="1010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24000" cy="1010920"/>
                    </a:xfrm>
                    <a:prstGeom prst="rect">
                      <a:avLst/>
                    </a:prstGeom>
                  </pic:spPr>
                </pic:pic>
              </a:graphicData>
            </a:graphic>
            <wp14:sizeRelH relativeFrom="page">
              <wp14:pctWidth>0</wp14:pctWidth>
            </wp14:sizeRelH>
            <wp14:sizeRelV relativeFrom="page">
              <wp14:pctHeight>0</wp14:pctHeight>
            </wp14:sizeRelV>
          </wp:anchor>
        </w:drawing>
      </w:r>
      <w:r w:rsidR="00B1444B">
        <w:t>FALSAFAH PENDIDIKAN ISLAM</w:t>
      </w:r>
      <w:r w:rsidR="00EA2A6F">
        <w:t xml:space="preserve"> DAN NAHDHATUL ULAMA</w:t>
      </w:r>
      <w:r w:rsidR="00B1444B">
        <w:t xml:space="preserve"> </w:t>
      </w:r>
      <w:r w:rsidR="00EA2A6F">
        <w:t>MENURUT K.H. HASYIM ASYAR’I</w:t>
      </w:r>
      <w:bookmarkEnd w:id="0"/>
    </w:p>
    <w:tbl>
      <w:tblPr>
        <w:tblStyle w:val="TableGrid"/>
        <w:tblW w:w="751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835"/>
      </w:tblGrid>
      <w:tr w:rsidR="005D08B9" w:rsidRPr="00E15EC4" w14:paraId="4BEBB5DF" w14:textId="77777777" w:rsidTr="00D54765">
        <w:tc>
          <w:tcPr>
            <w:tcW w:w="2410" w:type="dxa"/>
          </w:tcPr>
          <w:p w14:paraId="75ADA1BF" w14:textId="77777777" w:rsidR="005D08B9" w:rsidRPr="00AF08AB" w:rsidRDefault="005D08B9" w:rsidP="002D470C">
            <w:pPr>
              <w:pStyle w:val="ListParagraph"/>
              <w:numPr>
                <w:ilvl w:val="0"/>
                <w:numId w:val="3"/>
              </w:numPr>
              <w:spacing w:before="120" w:after="120"/>
              <w:ind w:left="39" w:hanging="147"/>
              <w:jc w:val="center"/>
              <w:rPr>
                <w:rFonts w:ascii="Gill Sans MT" w:hAnsi="Gill Sans MT"/>
                <w:i/>
                <w:sz w:val="16"/>
                <w:szCs w:val="20"/>
                <w:lang w:val="id-ID"/>
              </w:rPr>
            </w:pPr>
            <w:r w:rsidRPr="00AF08AB">
              <w:rPr>
                <w:rFonts w:ascii="Gill Sans MT" w:hAnsi="Gill Sans MT"/>
                <w:b/>
                <w:bCs/>
                <w:i/>
                <w:sz w:val="16"/>
                <w:szCs w:val="20"/>
                <w:lang w:val="id-ID"/>
              </w:rPr>
              <w:t>Received:</w:t>
            </w:r>
            <w:r w:rsidRPr="00AF08AB">
              <w:rPr>
                <w:rFonts w:ascii="Gill Sans MT" w:hAnsi="Gill Sans MT"/>
                <w:i/>
                <w:sz w:val="16"/>
                <w:szCs w:val="20"/>
                <w:lang w:val="id-ID"/>
              </w:rPr>
              <w:t xml:space="preserve"> </w:t>
            </w:r>
            <w:r w:rsidRPr="00AF08AB">
              <w:rPr>
                <w:rFonts w:ascii="Gill Sans MT" w:hAnsi="Gill Sans MT"/>
                <w:i/>
                <w:sz w:val="16"/>
                <w:szCs w:val="20"/>
              </w:rPr>
              <w:t>xx</w:t>
            </w:r>
            <w:r w:rsidRPr="00AF08AB">
              <w:rPr>
                <w:rFonts w:ascii="Gill Sans MT" w:hAnsi="Gill Sans MT"/>
                <w:i/>
                <w:sz w:val="16"/>
                <w:szCs w:val="20"/>
                <w:lang w:val="id-ID"/>
              </w:rPr>
              <w:t>.</w:t>
            </w:r>
            <w:r w:rsidRPr="00AF08AB">
              <w:rPr>
                <w:rFonts w:ascii="Gill Sans MT" w:hAnsi="Gill Sans MT"/>
                <w:i/>
                <w:sz w:val="16"/>
                <w:szCs w:val="20"/>
              </w:rPr>
              <w:t>xx</w:t>
            </w:r>
            <w:r w:rsidRPr="00AF08AB">
              <w:rPr>
                <w:rFonts w:ascii="Gill Sans MT" w:hAnsi="Gill Sans MT"/>
                <w:i/>
                <w:sz w:val="16"/>
                <w:szCs w:val="20"/>
                <w:lang w:val="id-ID"/>
              </w:rPr>
              <w:t>.</w:t>
            </w:r>
            <w:r w:rsidRPr="00AF08AB">
              <w:rPr>
                <w:rFonts w:ascii="Gill Sans MT" w:hAnsi="Gill Sans MT"/>
                <w:i/>
                <w:sz w:val="16"/>
                <w:szCs w:val="20"/>
              </w:rPr>
              <w:t>xxxx</w:t>
            </w:r>
          </w:p>
        </w:tc>
        <w:tc>
          <w:tcPr>
            <w:tcW w:w="2268" w:type="dxa"/>
          </w:tcPr>
          <w:p w14:paraId="21230032" w14:textId="77777777" w:rsidR="005D08B9" w:rsidRPr="00AF08AB" w:rsidRDefault="005D08B9" w:rsidP="002D470C">
            <w:pPr>
              <w:pStyle w:val="ListParagraph"/>
              <w:numPr>
                <w:ilvl w:val="0"/>
                <w:numId w:val="3"/>
              </w:numPr>
              <w:spacing w:before="120" w:after="120"/>
              <w:ind w:left="34" w:hanging="142"/>
              <w:jc w:val="center"/>
              <w:rPr>
                <w:rFonts w:ascii="Gill Sans MT" w:hAnsi="Gill Sans MT"/>
                <w:i/>
                <w:sz w:val="16"/>
                <w:szCs w:val="20"/>
                <w:lang w:val="id-ID"/>
              </w:rPr>
            </w:pPr>
            <w:r w:rsidRPr="00AF08AB">
              <w:rPr>
                <w:rFonts w:ascii="Gill Sans MT" w:hAnsi="Gill Sans MT"/>
                <w:b/>
                <w:bCs/>
                <w:i/>
                <w:sz w:val="16"/>
                <w:szCs w:val="20"/>
                <w:lang w:val="id-ID"/>
              </w:rPr>
              <w:t>Accepted:</w:t>
            </w:r>
            <w:r w:rsidRPr="00AF08AB">
              <w:rPr>
                <w:rFonts w:ascii="Gill Sans MT" w:hAnsi="Gill Sans MT"/>
                <w:i/>
                <w:sz w:val="16"/>
                <w:szCs w:val="20"/>
                <w:lang w:val="id-ID"/>
              </w:rPr>
              <w:t xml:space="preserve"> </w:t>
            </w:r>
            <w:r w:rsidRPr="00AF08AB">
              <w:rPr>
                <w:rFonts w:ascii="Gill Sans MT" w:hAnsi="Gill Sans MT"/>
                <w:i/>
                <w:sz w:val="16"/>
                <w:szCs w:val="20"/>
              </w:rPr>
              <w:t>xx.xx.xxxx</w:t>
            </w:r>
          </w:p>
        </w:tc>
        <w:tc>
          <w:tcPr>
            <w:tcW w:w="2835" w:type="dxa"/>
          </w:tcPr>
          <w:p w14:paraId="56CB2F8A" w14:textId="77777777" w:rsidR="005D08B9" w:rsidRPr="00AF08AB" w:rsidRDefault="005D08B9" w:rsidP="00AF08AB">
            <w:pPr>
              <w:pStyle w:val="ListParagraph"/>
              <w:numPr>
                <w:ilvl w:val="0"/>
                <w:numId w:val="3"/>
              </w:numPr>
              <w:spacing w:before="120" w:after="120" w:line="276" w:lineRule="auto"/>
              <w:ind w:left="34" w:hanging="142"/>
              <w:jc w:val="center"/>
              <w:rPr>
                <w:rFonts w:ascii="Gill Sans MT" w:hAnsi="Gill Sans MT"/>
                <w:i/>
                <w:sz w:val="16"/>
                <w:szCs w:val="20"/>
                <w:lang w:val="id-ID"/>
              </w:rPr>
            </w:pPr>
            <w:r w:rsidRPr="00AF08AB">
              <w:rPr>
                <w:rFonts w:ascii="Gill Sans MT" w:hAnsi="Gill Sans MT"/>
                <w:b/>
                <w:bCs/>
                <w:i/>
                <w:sz w:val="16"/>
                <w:szCs w:val="20"/>
                <w:lang w:val="id-ID"/>
              </w:rPr>
              <w:t>Published</w:t>
            </w:r>
            <w:r w:rsidRPr="00AF08AB">
              <w:rPr>
                <w:rFonts w:ascii="Gill Sans MT" w:hAnsi="Gill Sans MT"/>
                <w:i/>
                <w:sz w:val="16"/>
                <w:szCs w:val="20"/>
                <w:lang w:val="id-ID"/>
              </w:rPr>
              <w:t xml:space="preserve"> </w:t>
            </w:r>
            <w:r w:rsidRPr="00AF08AB">
              <w:rPr>
                <w:rFonts w:ascii="Gill Sans MT" w:hAnsi="Gill Sans MT"/>
                <w:b/>
                <w:bCs/>
                <w:i/>
                <w:sz w:val="16"/>
                <w:szCs w:val="20"/>
                <w:lang w:val="id-ID"/>
              </w:rPr>
              <w:t>online</w:t>
            </w:r>
            <w:r w:rsidRPr="00AF08AB">
              <w:rPr>
                <w:rFonts w:ascii="Gill Sans MT" w:hAnsi="Gill Sans MT"/>
                <w:i/>
                <w:sz w:val="16"/>
                <w:szCs w:val="20"/>
                <w:lang w:val="id-ID"/>
              </w:rPr>
              <w:t xml:space="preserve">: </w:t>
            </w:r>
            <w:r w:rsidR="00AF08AB">
              <w:rPr>
                <w:rFonts w:ascii="Gill Sans MT" w:hAnsi="Gill Sans MT"/>
                <w:i/>
                <w:sz w:val="16"/>
                <w:szCs w:val="20"/>
              </w:rPr>
              <w:t>xx</w:t>
            </w:r>
            <w:r w:rsidRPr="00AF08AB">
              <w:rPr>
                <w:rFonts w:ascii="Gill Sans MT" w:hAnsi="Gill Sans MT"/>
                <w:i/>
                <w:sz w:val="16"/>
                <w:szCs w:val="20"/>
              </w:rPr>
              <w:t>.xx.xxxx</w:t>
            </w:r>
          </w:p>
        </w:tc>
      </w:tr>
    </w:tbl>
    <w:p w14:paraId="2CAD05B4" w14:textId="77777777" w:rsidR="001454BE" w:rsidRDefault="00B1444B" w:rsidP="001454BE">
      <w:pPr>
        <w:jc w:val="both"/>
        <w:rPr>
          <w:b/>
          <w:i/>
          <w:iCs/>
          <w:sz w:val="22"/>
        </w:rPr>
      </w:pPr>
      <w:r>
        <w:rPr>
          <w:b/>
          <w:sz w:val="22"/>
        </w:rPr>
        <w:t>Samsul Ma’arif</w:t>
      </w:r>
      <w:r w:rsidR="00B92F7A" w:rsidRPr="00AF08AB">
        <w:rPr>
          <w:b/>
          <w:sz w:val="22"/>
          <w:vertAlign w:val="superscript"/>
        </w:rPr>
        <w:t>1</w:t>
      </w:r>
      <w:r w:rsidR="00293244" w:rsidRPr="00AF08AB">
        <w:rPr>
          <w:b/>
          <w:sz w:val="22"/>
          <w:vertAlign w:val="superscript"/>
        </w:rPr>
        <w:tab/>
      </w:r>
      <w:r w:rsidR="00293244" w:rsidRPr="00AF08AB">
        <w:rPr>
          <w:b/>
          <w:sz w:val="22"/>
        </w:rPr>
        <w:tab/>
      </w:r>
      <w:r w:rsidR="00293244" w:rsidRPr="00AF08AB">
        <w:rPr>
          <w:b/>
          <w:sz w:val="22"/>
        </w:rPr>
        <w:tab/>
      </w:r>
      <w:r w:rsidR="00293244" w:rsidRPr="00AF08AB">
        <w:rPr>
          <w:b/>
          <w:sz w:val="22"/>
        </w:rPr>
        <w:tab/>
      </w:r>
      <w:r w:rsidR="00293244" w:rsidRPr="00AF08AB">
        <w:rPr>
          <w:b/>
          <w:sz w:val="22"/>
        </w:rPr>
        <w:tab/>
        <w:t xml:space="preserve">  </w:t>
      </w:r>
      <w:r w:rsidR="001454BE">
        <w:rPr>
          <w:b/>
          <w:sz w:val="22"/>
        </w:rPr>
        <w:t xml:space="preserve"> </w:t>
      </w:r>
      <w:hyperlink r:id="rId10" w:history="1">
        <w:r w:rsidR="001454BE" w:rsidRPr="002B470F">
          <w:rPr>
            <w:rStyle w:val="Hyperlink"/>
            <w:b/>
            <w:i/>
            <w:iCs/>
            <w:sz w:val="22"/>
          </w:rPr>
          <w:t>232622109.samsul@uinbanten.ac.id</w:t>
        </w:r>
      </w:hyperlink>
    </w:p>
    <w:p w14:paraId="04C08E21" w14:textId="77777777" w:rsidR="001454BE" w:rsidRPr="001454BE" w:rsidRDefault="001454BE" w:rsidP="001454BE">
      <w:pPr>
        <w:jc w:val="both"/>
        <w:rPr>
          <w:b/>
          <w:i/>
          <w:iCs/>
          <w:sz w:val="22"/>
        </w:rPr>
      </w:pPr>
    </w:p>
    <w:p w14:paraId="6A194341" w14:textId="77777777" w:rsidR="00293244" w:rsidRPr="00AF08AB" w:rsidRDefault="00B1444B" w:rsidP="00293244">
      <w:pPr>
        <w:jc w:val="both"/>
        <w:rPr>
          <w:i/>
          <w:sz w:val="22"/>
        </w:rPr>
      </w:pPr>
      <w:r>
        <w:rPr>
          <w:i/>
          <w:sz w:val="22"/>
        </w:rPr>
        <w:t>UIN Maulana Hasanuddin Banten, Serang Banten</w:t>
      </w:r>
    </w:p>
    <w:p w14:paraId="66360873" w14:textId="77777777" w:rsidR="00293244" w:rsidRPr="00AF08AB" w:rsidRDefault="00293244" w:rsidP="00293244">
      <w:pPr>
        <w:jc w:val="both"/>
        <w:rPr>
          <w:b/>
          <w:sz w:val="22"/>
        </w:rPr>
      </w:pPr>
    </w:p>
    <w:p w14:paraId="41EF1CF0" w14:textId="77777777" w:rsidR="00293244" w:rsidRDefault="00B1444B" w:rsidP="00B1444B">
      <w:pPr>
        <w:jc w:val="both"/>
        <w:rPr>
          <w:b/>
          <w:i/>
          <w:iCs/>
          <w:sz w:val="22"/>
        </w:rPr>
      </w:pPr>
      <w:r>
        <w:rPr>
          <w:b/>
          <w:sz w:val="22"/>
        </w:rPr>
        <w:t>Agus Gunawan</w:t>
      </w:r>
      <w:r w:rsidR="00293244" w:rsidRPr="00AF08AB">
        <w:rPr>
          <w:b/>
          <w:sz w:val="22"/>
          <w:vertAlign w:val="superscript"/>
        </w:rPr>
        <w:t>2</w:t>
      </w:r>
      <w:r w:rsidR="00293244" w:rsidRPr="00AF08AB">
        <w:rPr>
          <w:b/>
          <w:sz w:val="22"/>
        </w:rPr>
        <w:tab/>
      </w:r>
      <w:r w:rsidR="00293244" w:rsidRPr="00AF08AB">
        <w:rPr>
          <w:b/>
          <w:sz w:val="22"/>
        </w:rPr>
        <w:tab/>
      </w:r>
      <w:r w:rsidR="00293244" w:rsidRPr="00AF08AB">
        <w:rPr>
          <w:b/>
          <w:sz w:val="22"/>
        </w:rPr>
        <w:tab/>
      </w:r>
      <w:r w:rsidR="00293244" w:rsidRPr="00AF08AB">
        <w:rPr>
          <w:b/>
          <w:sz w:val="22"/>
        </w:rPr>
        <w:tab/>
      </w:r>
      <w:r w:rsidR="00293244" w:rsidRPr="00AF08AB">
        <w:rPr>
          <w:b/>
          <w:sz w:val="22"/>
        </w:rPr>
        <w:tab/>
        <w:t xml:space="preserve">   </w:t>
      </w:r>
      <w:r w:rsidR="001454BE">
        <w:rPr>
          <w:b/>
          <w:sz w:val="22"/>
        </w:rPr>
        <w:t xml:space="preserve">       </w:t>
      </w:r>
      <w:hyperlink r:id="rId11" w:history="1">
        <w:r w:rsidR="001454BE" w:rsidRPr="002B470F">
          <w:rPr>
            <w:rStyle w:val="Hyperlink"/>
            <w:b/>
            <w:i/>
            <w:iCs/>
            <w:sz w:val="22"/>
          </w:rPr>
          <w:t>agusgunawan1405@gmail.com</w:t>
        </w:r>
      </w:hyperlink>
    </w:p>
    <w:p w14:paraId="0D35F204" w14:textId="77777777" w:rsidR="001454BE" w:rsidRPr="00AF08AB" w:rsidRDefault="001454BE" w:rsidP="00B1444B">
      <w:pPr>
        <w:jc w:val="both"/>
        <w:rPr>
          <w:sz w:val="22"/>
        </w:rPr>
      </w:pPr>
    </w:p>
    <w:p w14:paraId="69923A39" w14:textId="77777777" w:rsidR="001454BE" w:rsidRPr="00AF08AB" w:rsidRDefault="001454BE" w:rsidP="001454BE">
      <w:pPr>
        <w:jc w:val="both"/>
        <w:rPr>
          <w:i/>
          <w:sz w:val="22"/>
        </w:rPr>
      </w:pPr>
      <w:r>
        <w:rPr>
          <w:i/>
          <w:sz w:val="22"/>
        </w:rPr>
        <w:t>UIN Maulana Hasanuddin Banten, Serang Banten</w:t>
      </w:r>
    </w:p>
    <w:p w14:paraId="29D09472" w14:textId="77777777" w:rsidR="001454BE" w:rsidRPr="00AF08AB" w:rsidRDefault="001454BE" w:rsidP="001454BE">
      <w:pPr>
        <w:jc w:val="both"/>
        <w:rPr>
          <w:b/>
          <w:sz w:val="22"/>
        </w:rPr>
      </w:pPr>
    </w:p>
    <w:p w14:paraId="41DB96EE" w14:textId="77777777" w:rsidR="00293244" w:rsidRDefault="001454BE" w:rsidP="00293244">
      <w:pPr>
        <w:jc w:val="both"/>
        <w:rPr>
          <w:b/>
          <w:bCs/>
          <w:i/>
          <w:sz w:val="22"/>
        </w:rPr>
      </w:pPr>
      <w:r>
        <w:rPr>
          <w:b/>
          <w:bCs/>
          <w:iCs/>
          <w:sz w:val="22"/>
        </w:rPr>
        <w:t>Muhajir Muhajir</w:t>
      </w:r>
      <w:r>
        <w:rPr>
          <w:b/>
          <w:sz w:val="22"/>
          <w:vertAlign w:val="superscript"/>
        </w:rPr>
        <w:t xml:space="preserve">3 </w:t>
      </w:r>
      <w:r>
        <w:rPr>
          <w:b/>
          <w:bCs/>
          <w:iCs/>
          <w:sz w:val="22"/>
        </w:rPr>
        <w:t xml:space="preserve">                                                                               </w:t>
      </w:r>
      <w:hyperlink r:id="rId12" w:history="1">
        <w:r w:rsidRPr="002B470F">
          <w:rPr>
            <w:rStyle w:val="Hyperlink"/>
            <w:b/>
            <w:bCs/>
            <w:i/>
            <w:sz w:val="22"/>
          </w:rPr>
          <w:t>muhajir@uinbanten.ac.id</w:t>
        </w:r>
      </w:hyperlink>
    </w:p>
    <w:p w14:paraId="203A072C" w14:textId="77777777" w:rsidR="001454BE" w:rsidRPr="00AF08AB" w:rsidRDefault="001454BE" w:rsidP="001454BE">
      <w:pPr>
        <w:jc w:val="both"/>
        <w:rPr>
          <w:i/>
          <w:sz w:val="22"/>
        </w:rPr>
      </w:pPr>
      <w:r>
        <w:rPr>
          <w:i/>
          <w:sz w:val="22"/>
        </w:rPr>
        <w:t>UIN Maulana Hasanuddin Banten, Serang Banten</w:t>
      </w:r>
    </w:p>
    <w:p w14:paraId="6D31ED3C" w14:textId="77777777" w:rsidR="001454BE" w:rsidRPr="001454BE" w:rsidRDefault="001454BE" w:rsidP="00293244">
      <w:pPr>
        <w:jc w:val="both"/>
        <w:rPr>
          <w:b/>
          <w:bCs/>
          <w:iCs/>
          <w:sz w:val="22"/>
        </w:rPr>
      </w:pPr>
    </w:p>
    <w:p w14:paraId="2F67173A" w14:textId="77777777" w:rsidR="00CF29F6" w:rsidRPr="00E15EC4" w:rsidRDefault="00CF29F6" w:rsidP="00260092">
      <w:pPr>
        <w:jc w:val="center"/>
        <w:rPr>
          <w:b/>
        </w:rPr>
      </w:pPr>
    </w:p>
    <w:p w14:paraId="20F2CC70" w14:textId="77777777" w:rsidR="00CF29F6" w:rsidRPr="00E15EC4" w:rsidRDefault="003E2345" w:rsidP="001454BE">
      <w:pPr>
        <w:jc w:val="both"/>
        <w:rPr>
          <w:rFonts w:ascii="Tw Cen MT" w:hAnsi="Tw Cen MT"/>
          <w:i/>
          <w:sz w:val="22"/>
          <w:szCs w:val="22"/>
        </w:rPr>
      </w:pPr>
      <w:r w:rsidRPr="00E15EC4">
        <w:rPr>
          <w:rFonts w:ascii="Tw Cen MT" w:hAnsi="Tw Cen MT"/>
          <w:b/>
          <w:i/>
          <w:sz w:val="22"/>
          <w:szCs w:val="22"/>
        </w:rPr>
        <w:t>ABSTRAK:</w:t>
      </w:r>
      <w:r w:rsidR="00536063" w:rsidRPr="00E15EC4">
        <w:rPr>
          <w:rFonts w:ascii="Tw Cen MT" w:hAnsi="Tw Cen MT"/>
          <w:i/>
          <w:sz w:val="22"/>
          <w:szCs w:val="22"/>
        </w:rPr>
        <w:t xml:space="preserve"> </w:t>
      </w:r>
      <w:r w:rsidR="001454BE" w:rsidRPr="001454BE">
        <w:rPr>
          <w:rFonts w:ascii="Tw Cen MT" w:hAnsi="Tw Cen MT"/>
          <w:i/>
          <w:sz w:val="22"/>
          <w:szCs w:val="22"/>
        </w:rPr>
        <w:t>Filsafat Pendidikan Islam dalam Pandangan Nahdatul Ulama. Penelitian ini menganalisis tentang Filsafat Pendidikan Islam dalam Sudut Pandang NU yang menjadi topik yang menggugah minat peneliti untuk mengkajinya.  Data penelitian ini diperoleh melalui telaah dokumen dan dikonfirmasi melalui observasi mendalam, kemudian dianalisis menggunakan model analisis data Miles dan Huberman. Penelitian ini menyimpulkan bahwa ajaran NU mengembangkan prinsip al-muhâfazhah ala qadîm al-shâlih wa al-akhzu bi al-jadîd al-ashlâh, yang mana prinsip tersebut telah menjadi nilai inti yang diterapkan dalam  belajar mengajar. . Tentu saja penelitian ini menegaskan kesimpulan beberapa ulama bahwa pendidikan harus mendukung pemahaman Islam yang moderat dan nilai-nilai persaudaraan Islam yang tinggi.</w:t>
      </w:r>
    </w:p>
    <w:p w14:paraId="1D99994A" w14:textId="77777777" w:rsidR="00CF29F6" w:rsidRPr="00E15EC4" w:rsidRDefault="00CF29F6" w:rsidP="0086112A">
      <w:pPr>
        <w:ind w:right="425"/>
        <w:jc w:val="both"/>
        <w:rPr>
          <w:rFonts w:ascii="Tw Cen MT" w:hAnsi="Tw Cen MT"/>
          <w:i/>
          <w:sz w:val="22"/>
          <w:szCs w:val="22"/>
          <w:lang w:eastAsia="id-ID"/>
        </w:rPr>
      </w:pPr>
      <w:r w:rsidRPr="00E15EC4">
        <w:rPr>
          <w:rFonts w:ascii="Tw Cen MT" w:hAnsi="Tw Cen MT"/>
          <w:b/>
          <w:i/>
          <w:sz w:val="22"/>
          <w:szCs w:val="22"/>
          <w:lang w:eastAsia="id-ID"/>
        </w:rPr>
        <w:t xml:space="preserve">Kata Kunci: </w:t>
      </w:r>
      <w:r w:rsidR="001454BE">
        <w:rPr>
          <w:rFonts w:ascii="Tw Cen MT" w:hAnsi="Tw Cen MT"/>
          <w:i/>
          <w:sz w:val="22"/>
          <w:szCs w:val="22"/>
          <w:lang w:eastAsia="id-ID"/>
        </w:rPr>
        <w:t>Falsafah Pendidikan</w:t>
      </w:r>
      <w:r w:rsidRPr="00E15EC4">
        <w:rPr>
          <w:rFonts w:ascii="Tw Cen MT" w:hAnsi="Tw Cen MT"/>
          <w:i/>
          <w:sz w:val="22"/>
          <w:szCs w:val="22"/>
          <w:lang w:eastAsia="id-ID"/>
        </w:rPr>
        <w:t>i</w:t>
      </w:r>
      <w:r w:rsidRPr="00E15EC4">
        <w:rPr>
          <w:rFonts w:ascii="Tw Cen MT" w:hAnsi="Tw Cen MT"/>
          <w:i/>
          <w:sz w:val="22"/>
          <w:szCs w:val="22"/>
          <w:vertAlign w:val="superscript"/>
          <w:lang w:eastAsia="id-ID"/>
        </w:rPr>
        <w:t>1</w:t>
      </w:r>
      <w:r w:rsidRPr="00E15EC4">
        <w:rPr>
          <w:rFonts w:ascii="Tw Cen MT" w:hAnsi="Tw Cen MT"/>
          <w:i/>
          <w:sz w:val="22"/>
          <w:szCs w:val="22"/>
          <w:lang w:eastAsia="id-ID"/>
        </w:rPr>
        <w:t xml:space="preserve">, </w:t>
      </w:r>
      <w:r w:rsidR="001454BE">
        <w:rPr>
          <w:rFonts w:ascii="Tw Cen MT" w:hAnsi="Tw Cen MT"/>
          <w:i/>
          <w:sz w:val="22"/>
          <w:szCs w:val="22"/>
          <w:lang w:eastAsia="id-ID"/>
        </w:rPr>
        <w:t>Pandangan</w:t>
      </w:r>
      <w:r w:rsidRPr="00E15EC4">
        <w:rPr>
          <w:rFonts w:ascii="Tw Cen MT" w:hAnsi="Tw Cen MT"/>
          <w:i/>
          <w:sz w:val="22"/>
          <w:szCs w:val="22"/>
          <w:vertAlign w:val="superscript"/>
          <w:lang w:eastAsia="id-ID"/>
        </w:rPr>
        <w:t>2</w:t>
      </w:r>
      <w:r w:rsidRPr="00E15EC4">
        <w:rPr>
          <w:rFonts w:ascii="Tw Cen MT" w:hAnsi="Tw Cen MT"/>
          <w:i/>
          <w:sz w:val="22"/>
          <w:szCs w:val="22"/>
          <w:lang w:eastAsia="id-ID"/>
        </w:rPr>
        <w:t xml:space="preserve">, </w:t>
      </w:r>
      <w:r w:rsidR="001454BE">
        <w:rPr>
          <w:rFonts w:ascii="Tw Cen MT" w:hAnsi="Tw Cen MT"/>
          <w:i/>
          <w:sz w:val="22"/>
          <w:szCs w:val="22"/>
          <w:lang w:eastAsia="id-ID"/>
        </w:rPr>
        <w:t>Nahdhatul Ulama</w:t>
      </w:r>
      <w:r w:rsidRPr="00E15EC4">
        <w:rPr>
          <w:rFonts w:ascii="Tw Cen MT" w:hAnsi="Tw Cen MT"/>
          <w:i/>
          <w:sz w:val="22"/>
          <w:szCs w:val="22"/>
          <w:vertAlign w:val="superscript"/>
          <w:lang w:eastAsia="id-ID"/>
        </w:rPr>
        <w:t>3</w:t>
      </w:r>
      <w:r w:rsidR="00531856">
        <w:rPr>
          <w:rFonts w:ascii="Tw Cen MT" w:hAnsi="Tw Cen MT"/>
          <w:i/>
          <w:sz w:val="22"/>
          <w:szCs w:val="22"/>
          <w:lang w:eastAsia="id-ID"/>
        </w:rPr>
        <w:t>.</w:t>
      </w:r>
    </w:p>
    <w:p w14:paraId="289A72FE" w14:textId="77777777" w:rsidR="00536063" w:rsidRPr="00E15EC4" w:rsidRDefault="00536063" w:rsidP="0086112A">
      <w:pPr>
        <w:ind w:right="425"/>
        <w:jc w:val="both"/>
        <w:rPr>
          <w:i/>
          <w:sz w:val="22"/>
          <w:szCs w:val="22"/>
          <w:lang w:eastAsia="id-ID"/>
        </w:rPr>
      </w:pPr>
    </w:p>
    <w:p w14:paraId="483A3C36" w14:textId="77777777" w:rsidR="00536063" w:rsidRPr="002E6A00" w:rsidRDefault="003E2345" w:rsidP="002E6A00">
      <w:pPr>
        <w:pStyle w:val="BodyText"/>
        <w:jc w:val="both"/>
      </w:pPr>
      <w:r w:rsidRPr="00E15EC4">
        <w:rPr>
          <w:rFonts w:ascii="Tw Cen MT" w:hAnsi="Tw Cen MT"/>
          <w:b/>
          <w:i/>
          <w:sz w:val="22"/>
          <w:szCs w:val="22"/>
        </w:rPr>
        <w:t>ABSTRACT:</w:t>
      </w:r>
      <w:r w:rsidR="00536063" w:rsidRPr="00E15EC4">
        <w:rPr>
          <w:rFonts w:ascii="Tw Cen MT" w:hAnsi="Tw Cen MT"/>
          <w:i/>
          <w:sz w:val="22"/>
          <w:szCs w:val="22"/>
        </w:rPr>
        <w:t xml:space="preserve"> </w:t>
      </w:r>
      <w:r w:rsidR="002E6A00">
        <w:t>The philosophy of Islamic education in the views of Nahdatul Ulama. This research analyzes the philosophy of Islamic education from the perspective of NU, which is a theme that makes researchers curious to research it. This research data was obtained through document review and strengthened by prolonged observation activities, then analyzed using the Miles and Huberman data analysis model. This research concludes that NU education develops the principles of al- muhâfazhah 'ala qadîm al-shâlih wa al-akhzu bi al-jadîd al-ashlâh whose principles have become basic values applied in the teaching and learning process. Of course, this research strengthens the conclusion of a number of researchers that education should uphold a moderate understanding of Islam and highly uphold the values of Islamic brotherhood.</w:t>
      </w:r>
    </w:p>
    <w:p w14:paraId="7D24B775" w14:textId="77777777" w:rsidR="00536063" w:rsidRPr="002E6A00" w:rsidRDefault="00536063" w:rsidP="002E6A00">
      <w:r w:rsidRPr="00E15EC4">
        <w:rPr>
          <w:rFonts w:ascii="Tw Cen MT" w:hAnsi="Tw Cen MT"/>
          <w:b/>
          <w:sz w:val="22"/>
          <w:szCs w:val="22"/>
        </w:rPr>
        <w:t>Keyword:</w:t>
      </w:r>
      <w:r w:rsidRPr="00E15EC4">
        <w:rPr>
          <w:rFonts w:ascii="Tw Cen MT" w:hAnsi="Tw Cen MT"/>
          <w:sz w:val="22"/>
          <w:szCs w:val="22"/>
        </w:rPr>
        <w:t xml:space="preserve"> </w:t>
      </w:r>
      <w:r w:rsidR="002E6A00">
        <w:t>Educational philosophy</w:t>
      </w:r>
      <w:r w:rsidRPr="00E15EC4">
        <w:rPr>
          <w:rFonts w:ascii="Tw Cen MT" w:hAnsi="Tw Cen MT"/>
          <w:sz w:val="22"/>
          <w:szCs w:val="22"/>
          <w:vertAlign w:val="superscript"/>
        </w:rPr>
        <w:t>1</w:t>
      </w:r>
      <w:r w:rsidRPr="00E15EC4">
        <w:rPr>
          <w:rFonts w:ascii="Tw Cen MT" w:hAnsi="Tw Cen MT"/>
          <w:sz w:val="22"/>
          <w:szCs w:val="22"/>
        </w:rPr>
        <w:t xml:space="preserve">, </w:t>
      </w:r>
      <w:r w:rsidR="002E6A00">
        <w:t>views</w:t>
      </w:r>
      <w:r w:rsidRPr="00E15EC4">
        <w:rPr>
          <w:rFonts w:ascii="Tw Cen MT" w:hAnsi="Tw Cen MT"/>
          <w:sz w:val="22"/>
          <w:szCs w:val="22"/>
          <w:vertAlign w:val="superscript"/>
        </w:rPr>
        <w:t>2</w:t>
      </w:r>
      <w:r w:rsidRPr="00E15EC4">
        <w:rPr>
          <w:rFonts w:ascii="Tw Cen MT" w:hAnsi="Tw Cen MT"/>
          <w:sz w:val="22"/>
          <w:szCs w:val="22"/>
        </w:rPr>
        <w:t xml:space="preserve">, </w:t>
      </w:r>
      <w:r w:rsidR="002E6A00">
        <w:t>nahdatul ulama</w:t>
      </w:r>
      <w:r w:rsidRPr="00E15EC4">
        <w:rPr>
          <w:rFonts w:ascii="Tw Cen MT" w:hAnsi="Tw Cen MT"/>
          <w:sz w:val="22"/>
          <w:szCs w:val="22"/>
          <w:vertAlign w:val="superscript"/>
        </w:rPr>
        <w:t>3</w:t>
      </w:r>
      <w:r w:rsidRPr="00E15EC4">
        <w:rPr>
          <w:rFonts w:ascii="Tw Cen MT" w:hAnsi="Tw Cen MT"/>
          <w:sz w:val="22"/>
          <w:szCs w:val="22"/>
        </w:rPr>
        <w:t>.</w:t>
      </w:r>
    </w:p>
    <w:p w14:paraId="049F0D87" w14:textId="77777777" w:rsidR="00536063" w:rsidRPr="00E15EC4" w:rsidRDefault="00536063" w:rsidP="0086112A">
      <w:pPr>
        <w:ind w:right="425"/>
        <w:jc w:val="both"/>
        <w:rPr>
          <w:b/>
          <w:i/>
          <w:sz w:val="22"/>
          <w:szCs w:val="22"/>
          <w:lang w:val="id-ID" w:eastAsia="id-ID"/>
        </w:rPr>
      </w:pPr>
    </w:p>
    <w:p w14:paraId="64D697A2" w14:textId="77777777" w:rsidR="00CA16EE" w:rsidRPr="00E15EC4" w:rsidRDefault="00CA16EE" w:rsidP="006027AE">
      <w:pPr>
        <w:pStyle w:val="Heading1"/>
        <w:numPr>
          <w:ilvl w:val="0"/>
          <w:numId w:val="0"/>
        </w:numPr>
        <w:spacing w:before="0" w:after="0" w:line="276" w:lineRule="auto"/>
        <w:rPr>
          <w:rFonts w:ascii="Times New Roman" w:hAnsi="Times New Roman"/>
          <w:szCs w:val="24"/>
        </w:rPr>
      </w:pPr>
    </w:p>
    <w:p w14:paraId="17840668" w14:textId="77777777" w:rsidR="00293244" w:rsidRPr="00E15EC4" w:rsidRDefault="00CF29F6" w:rsidP="00531856">
      <w:pPr>
        <w:pStyle w:val="Heading1"/>
        <w:numPr>
          <w:ilvl w:val="0"/>
          <w:numId w:val="8"/>
        </w:numPr>
        <w:spacing w:before="0" w:after="0" w:line="276" w:lineRule="auto"/>
        <w:ind w:left="284" w:hanging="284"/>
        <w:rPr>
          <w:rFonts w:ascii="Times New Roman" w:hAnsi="Times New Roman"/>
          <w:szCs w:val="24"/>
        </w:rPr>
      </w:pPr>
      <w:r w:rsidRPr="00E15EC4">
        <w:rPr>
          <w:rFonts w:ascii="Times New Roman" w:hAnsi="Times New Roman"/>
          <w:szCs w:val="24"/>
        </w:rPr>
        <w:t>PENDAHULUAN</w:t>
      </w:r>
    </w:p>
    <w:p w14:paraId="3EF6947B" w14:textId="77777777" w:rsidR="00EA2A6F" w:rsidRDefault="00EA2A6F" w:rsidP="00EA2A6F">
      <w:pPr>
        <w:pStyle w:val="BodyText"/>
        <w:spacing w:line="480" w:lineRule="auto"/>
        <w:ind w:firstLine="720"/>
        <w:jc w:val="both"/>
      </w:pPr>
      <w:r>
        <w:t xml:space="preserve">Kajian terhadap pendidikan islam memang sudah melimpah. Para peneliti dari dalam dan luar negeri telah menghasilkan karya akademisnya untuk mengkaji sistem pendidikan di Indonesia. Hanya saja, sejauh ini kajian filosofi pendidikan yang dikembangkan khususnya pada </w:t>
      </w:r>
      <w:r>
        <w:lastRenderedPageBreak/>
        <w:t>pesantren belum mendapat banyak perhatian serius dari para peneliti pendidikan Islam, khususnya peneliti di dunia Sekolah yang berasrama.</w:t>
      </w:r>
      <w:r>
        <w:rPr>
          <w:vertAlign w:val="superscript"/>
        </w:rPr>
        <w:t>1</w:t>
      </w:r>
    </w:p>
    <w:p w14:paraId="7EE73B0D" w14:textId="5C37B13F" w:rsidR="00EA2A6F" w:rsidRDefault="00EA2A6F" w:rsidP="007C56A3">
      <w:pPr>
        <w:pStyle w:val="BodyText"/>
        <w:spacing w:line="480" w:lineRule="auto"/>
        <w:ind w:firstLine="284"/>
        <w:jc w:val="both"/>
      </w:pPr>
      <w:r>
        <w:t xml:space="preserve">Pesantren merupakan lembaga pendidikan tertua di Indonesia. Pondok pesantren awalnya dikembangkan oleh kiai di Pulau Jawa dan berafiliasi dengan Nahdlatul Ulama (NU). Memang ulama dan tokoh-tokoh Islam selain NU dan luar Jawa, mengembangkan lebih lanjut sistem madrasah. Ormas selain NU seperti Muhammadiyah, Al Washliyah, dan Al-Ittihadiyah lebih fokus mengembangkan sistem madrasah. </w:t>
      </w:r>
      <w:r w:rsidR="007C2B17">
        <w:rPr>
          <w:rStyle w:val="FootnoteReference"/>
        </w:rPr>
        <w:footnoteReference w:id="1"/>
      </w:r>
      <w:r>
        <w:t>Di antara ulama NU yang mengembangkan pesantren adalah KH. Hasyim Asy'ari.</w:t>
      </w:r>
      <w:r w:rsidR="007C56A3">
        <w:t xml:space="preserve"> </w:t>
      </w:r>
      <w:r>
        <w:t xml:space="preserve">Beliau adalah pendiri NU dan pesantren yang dipimpinnya menjadi contoh bagi kiai lain dalam </w:t>
      </w:r>
      <w:r w:rsidR="007C56A3">
        <w:t>mengembangkan sistem pesantren.</w:t>
      </w:r>
    </w:p>
    <w:p w14:paraId="07D14EF9" w14:textId="01F0A74D" w:rsidR="000E0FA8" w:rsidRDefault="000E0FA8" w:rsidP="000E0FA8">
      <w:pPr>
        <w:pStyle w:val="Heading1"/>
        <w:numPr>
          <w:ilvl w:val="0"/>
          <w:numId w:val="8"/>
        </w:numPr>
        <w:spacing w:before="0" w:after="0" w:line="276" w:lineRule="auto"/>
        <w:ind w:left="284" w:hanging="284"/>
        <w:rPr>
          <w:rFonts w:ascii="Times New Roman" w:hAnsi="Times New Roman"/>
          <w:szCs w:val="24"/>
        </w:rPr>
      </w:pPr>
      <w:r w:rsidRPr="00E15EC4">
        <w:rPr>
          <w:rFonts w:ascii="Times New Roman" w:hAnsi="Times New Roman"/>
          <w:szCs w:val="24"/>
          <w:lang w:val="id-ID"/>
        </w:rPr>
        <w:t>MET</w:t>
      </w:r>
      <w:r w:rsidRPr="00E15EC4">
        <w:rPr>
          <w:rFonts w:ascii="Times New Roman" w:hAnsi="Times New Roman"/>
          <w:szCs w:val="24"/>
        </w:rPr>
        <w:t>ODE PENELITIAN</w:t>
      </w:r>
    </w:p>
    <w:p w14:paraId="6AFC85E5" w14:textId="113B1CBD" w:rsidR="007C56A3" w:rsidRPr="007C56A3" w:rsidRDefault="007C56A3" w:rsidP="007C56A3">
      <w:pPr>
        <w:pStyle w:val="BodyText"/>
        <w:spacing w:line="480" w:lineRule="auto"/>
        <w:ind w:left="284" w:firstLine="436"/>
        <w:jc w:val="both"/>
      </w:pPr>
      <w:r>
        <w:t xml:space="preserve">Penelitian ini merupakan jenis penelitian kualitatif dengan menggunakan metode kepustakaan (library research). Metode pengumpulannya didasarkan pada pencarian literatur ilmiyah baik dari buku maupun dari berbagai artikel dan dan sumber-sumber yang terpercaya dan relevan sehingga penulis tidak harus terjun langsung ke lapangan melainkan mencari datanya melalui karya tulis majalah, artikel dan dokumen dokumen </w:t>
      </w:r>
      <w:r w:rsidR="007C2B17">
        <w:t>tertulis.</w:t>
      </w:r>
    </w:p>
    <w:p w14:paraId="03CF53A5" w14:textId="77777777" w:rsidR="000E0FA8" w:rsidRPr="000E0FA8" w:rsidRDefault="000E0FA8" w:rsidP="000E0FA8">
      <w:pPr>
        <w:pStyle w:val="Heading1"/>
        <w:numPr>
          <w:ilvl w:val="0"/>
          <w:numId w:val="8"/>
        </w:numPr>
        <w:spacing w:before="0" w:after="0" w:line="276" w:lineRule="auto"/>
        <w:ind w:left="284" w:hanging="284"/>
        <w:rPr>
          <w:rFonts w:ascii="Times New Roman" w:hAnsi="Times New Roman"/>
          <w:szCs w:val="24"/>
        </w:rPr>
      </w:pPr>
      <w:r w:rsidRPr="00E15EC4">
        <w:rPr>
          <w:rFonts w:ascii="Times New Roman" w:hAnsi="Times New Roman"/>
          <w:szCs w:val="24"/>
        </w:rPr>
        <w:t>HASIL DAN PEMBAHASAN</w:t>
      </w:r>
    </w:p>
    <w:p w14:paraId="43C8825C" w14:textId="77777777" w:rsidR="00EA2A6F" w:rsidRDefault="00EA2A6F" w:rsidP="00EA2A6F">
      <w:pPr>
        <w:pStyle w:val="BodyText"/>
        <w:numPr>
          <w:ilvl w:val="0"/>
          <w:numId w:val="10"/>
        </w:numPr>
        <w:spacing w:line="480" w:lineRule="auto"/>
        <w:jc w:val="both"/>
      </w:pPr>
      <w:r>
        <w:t>Mengenal Nahdhatul Ulama</w:t>
      </w:r>
    </w:p>
    <w:p w14:paraId="7E3DDDB5" w14:textId="30CCE55F" w:rsidR="00EA2A6F" w:rsidRDefault="00EA2A6F" w:rsidP="00EA2A6F">
      <w:pPr>
        <w:pStyle w:val="BodyText"/>
        <w:spacing w:line="480" w:lineRule="auto"/>
        <w:ind w:left="360" w:firstLine="360"/>
        <w:jc w:val="both"/>
      </w:pPr>
      <w:r>
        <w:t xml:space="preserve">Lahirnya NU pada tahun 1926 tidak lepas dari berkembangnya gerakan dan organisasi Islam yang bertujuan untuk memurnikan (memperbaharui) ajaran Islam, seperti organisasi Muhammadiyah di Yogyakarta yang dipimpin oleh KH. Ahmad Dahlan pada tahun 1912. Di </w:t>
      </w:r>
      <w:r>
        <w:lastRenderedPageBreak/>
        <w:t>sisi lain, gerakan Wahhabi di Arab Saudi dinilai mengancam eksistensi praktik keagamaan Sunni Indonesia yang adaptif terhadap budaya lokal dan toleran terhadap perbedaan sekte dan keyakinan teologis. Puncak pertentangan terhadap kiai Indonesia yang berbasis pesantren terjadi ketika Raja Ibnu Saud ingin menjadikan mazhab Wahabi sebagai satu-satunya sekolah di Mekkah, dan ingin menghancurkan seluruh peninggalan sejarah Islam dan pra-Islam.</w:t>
      </w:r>
      <w:r w:rsidR="007C2B17">
        <w:rPr>
          <w:rStyle w:val="FootnoteReference"/>
        </w:rPr>
        <w:footnoteReference w:id="2"/>
      </w:r>
    </w:p>
    <w:p w14:paraId="266F643D" w14:textId="499C4A43" w:rsidR="00616828" w:rsidRDefault="00EA2A6F" w:rsidP="00616828">
      <w:pPr>
        <w:pStyle w:val="BodyText"/>
        <w:spacing w:line="480" w:lineRule="auto"/>
        <w:ind w:left="360" w:firstLine="360"/>
        <w:jc w:val="both"/>
      </w:pPr>
      <w:r>
        <w:t>Ajaran Wahhabi tentu saja mendapat respon positif dari kalangan modernis di Indonesia. Di antara yang menyambut positif adalah Muhammadiyah dibawah pimpinan Ahmad Dahlan dan Persatuan Islam Indonesia (PSII) dibawah pimpinan H.O.S. Tjokroaminoto. Di sisi lain, para kiai pesantren yang selama ini mendukung pluralitas mazhab menolak sikap pembatasan aliran dan mengutuk perusakan warisan peradaban Islam klasik.</w:t>
      </w:r>
      <w:r w:rsidR="00616828">
        <w:t xml:space="preserve"> </w:t>
      </w:r>
      <w:r w:rsidR="007C2B17">
        <w:rPr>
          <w:rStyle w:val="FootnoteReference"/>
        </w:rPr>
        <w:footnoteReference w:id="3"/>
      </w:r>
    </w:p>
    <w:p w14:paraId="1A6538D3" w14:textId="2CE1E861" w:rsidR="00616828" w:rsidRDefault="00EA2A6F" w:rsidP="00616828">
      <w:pPr>
        <w:pStyle w:val="BodyText"/>
        <w:spacing w:line="480" w:lineRule="auto"/>
        <w:ind w:left="360" w:firstLine="360"/>
        <w:jc w:val="both"/>
      </w:pPr>
      <w:r>
        <w:t>Karena memiliki sikap yang bertolak belakang, pihak pesantren dikeluarkan dari anggota Kongres al-Islam di Yogyakarta pada 1925. Akhirnya, pihak pesantren juga tidak</w:t>
      </w:r>
      <w:r w:rsidR="00616828">
        <w:t xml:space="preserve"> dilibatkan sebagai delegasi dalam Muktamar ‘Alam Islami (Kongres Islam Internasional) yang diadakan di Makkah dimana kongres akan mengesahkan upaya pemerintah kerajaan Saudi Arabia. Kalangan pesantren akhirnya merespons dengan membuat delegasi sendiri yang disebut Komite Hijaz yang dipimpin oleh KH. Wahab Hasbullah karena adanya upaya untuk menegakkan kebebasan bermazhab dan kepedulian terhadap warisan Islam klasik. </w:t>
      </w:r>
      <w:r w:rsidR="007C2B17">
        <w:rPr>
          <w:rStyle w:val="FootnoteReference"/>
        </w:rPr>
        <w:footnoteReference w:id="4"/>
      </w:r>
    </w:p>
    <w:p w14:paraId="3841C720" w14:textId="1D0DC3DE" w:rsidR="00616828" w:rsidRDefault="00616828" w:rsidP="00616828">
      <w:pPr>
        <w:pStyle w:val="BodyText"/>
        <w:spacing w:line="480" w:lineRule="auto"/>
        <w:ind w:left="360" w:firstLine="360"/>
        <w:jc w:val="both"/>
      </w:pPr>
      <w:r>
        <w:t xml:space="preserve">Karena memiliki sikap yang bertolak belakang, pihak pesantren dikeluarkan dari anggota Kongres al-Islam di Yogyakarta pada 1925. Akhirnya, pihak pesantren juga tidak dilibatkan </w:t>
      </w:r>
      <w:r>
        <w:lastRenderedPageBreak/>
        <w:t xml:space="preserve">sebagai delegasi dalam Muktamar ‘Alam Islami (Kongres Islam Internasional) yang diadakan di Makkah dimana kongres akan mengesahkan upaya pemerintah kerajaan Saudi Arabia. Kalangan pesantren akhirnya merespons dengan membuat delegasi sendiri yang disebut Komite Hijaz yang dipimpin oleh KH. Wahab Hasbullah karena adanya upaya untuk menegakkan kebebasan bermazhab dan kepedulian terhadap warisan Islam klasik. </w:t>
      </w:r>
      <w:r w:rsidR="007C2B17">
        <w:rPr>
          <w:rStyle w:val="FootnoteReference"/>
        </w:rPr>
        <w:footnoteReference w:id="5"/>
      </w:r>
    </w:p>
    <w:p w14:paraId="4E80F39C" w14:textId="559AE94D" w:rsidR="00616828" w:rsidRDefault="00616828" w:rsidP="00616828">
      <w:pPr>
        <w:pStyle w:val="BodyText"/>
        <w:spacing w:line="480" w:lineRule="auto"/>
        <w:ind w:left="360" w:firstLine="360"/>
        <w:jc w:val="both"/>
      </w:pPr>
      <w:r>
        <w:t xml:space="preserve">Berangkat dari komite dan berbagai organisasi yang bersifat embrional, seperti </w:t>
      </w:r>
      <w:r>
        <w:rPr>
          <w:i/>
        </w:rPr>
        <w:t xml:space="preserve">Nahdlah al-Wathan </w:t>
      </w:r>
      <w:r>
        <w:t xml:space="preserve">(semangat kebangsaan), </w:t>
      </w:r>
      <w:r>
        <w:rPr>
          <w:i/>
        </w:rPr>
        <w:t xml:space="preserve">Nahdlah al-Tujjar </w:t>
      </w:r>
      <w:r>
        <w:t xml:space="preserve">(kebangkitan ekonomi), dan </w:t>
      </w:r>
      <w:r>
        <w:rPr>
          <w:i/>
        </w:rPr>
        <w:t xml:space="preserve">Taswir al-Afkar </w:t>
      </w:r>
      <w:r>
        <w:t xml:space="preserve">(pembaruan pemikiran), akhirnya dibentuk organisasi yang diharapkan dapat menjadi wadah tempat berhimpun dan memperjuangkan gagasan-gagasan mereka dalam berbagai bidang, dan diberi nama Nahdlatul Ulama (Kebangkitan Ulama) pada tanggal 16 Rajab 1344 H (31 Januari 1926) yang pada awal berdirinya dipimpin oleh KH. Hasyim Asy’ari sebagai </w:t>
      </w:r>
      <w:r>
        <w:rPr>
          <w:i/>
        </w:rPr>
        <w:t>Ra’is Akbar</w:t>
      </w:r>
      <w:r>
        <w:t>.</w:t>
      </w:r>
      <w:r w:rsidR="007C2B17">
        <w:rPr>
          <w:rStyle w:val="FootnoteReference"/>
        </w:rPr>
        <w:footnoteReference w:id="6"/>
      </w:r>
    </w:p>
    <w:p w14:paraId="440E9178" w14:textId="2F6470DC" w:rsidR="00616828" w:rsidRDefault="00616828" w:rsidP="00616828">
      <w:pPr>
        <w:pStyle w:val="BodyText"/>
        <w:spacing w:line="480" w:lineRule="auto"/>
        <w:ind w:left="360" w:firstLine="360"/>
        <w:jc w:val="both"/>
      </w:pPr>
      <w:r>
        <w:t xml:space="preserve"> Istilah </w:t>
      </w:r>
      <w:r>
        <w:rPr>
          <w:i/>
        </w:rPr>
        <w:t>na</w:t>
      </w:r>
      <w:r>
        <w:rPr>
          <w:i/>
          <w:u w:val="single"/>
        </w:rPr>
        <w:t>h</w:t>
      </w:r>
      <w:r>
        <w:rPr>
          <w:i/>
        </w:rPr>
        <w:t xml:space="preserve">dah </w:t>
      </w:r>
      <w:r>
        <w:t>berarti kemampuan, kekuatan, dan loncatan atau terobosan dalam mengupayakan kemajuan. Sedangkan secara terminologi adalah menerima segala aktivitas kemajuan umat yang berperadaban lama dari sisi peradaban yang lebih baru disertai kemampuan melakukan rekonstruksi dan reformasi.</w:t>
      </w:r>
      <w:r w:rsidR="007C2B17">
        <w:rPr>
          <w:rStyle w:val="FootnoteReference"/>
        </w:rPr>
        <w:footnoteReference w:id="7"/>
      </w:r>
      <w:r>
        <w:t xml:space="preserve"> Dengan demikian, istilah </w:t>
      </w:r>
      <w:r>
        <w:rPr>
          <w:i/>
        </w:rPr>
        <w:t>na</w:t>
      </w:r>
      <w:r>
        <w:rPr>
          <w:i/>
          <w:u w:val="single"/>
        </w:rPr>
        <w:t>h</w:t>
      </w:r>
      <w:r>
        <w:rPr>
          <w:i/>
        </w:rPr>
        <w:t xml:space="preserve">dlah </w:t>
      </w:r>
      <w:r>
        <w:t xml:space="preserve">menuntut adanya kesadaran dan pengertian fakta historis secara khusus, dan dibutuhkan kapasitas kemampuan untuk melakukan renovasi kondisi yang kurang relevan berdasarkan fakta sejarah baik secara kultural maupun pemikiran. Aplikasi term tersebut diformulasikan </w:t>
      </w:r>
      <w:r>
        <w:lastRenderedPageBreak/>
        <w:t xml:space="preserve">dalam kaidah ‘mempertahankan hal-hal lama yang masih baik dan mengambil hal-hal baru yang lebih baik’. </w:t>
      </w:r>
    </w:p>
    <w:p w14:paraId="7DEF94B6" w14:textId="2F04B110" w:rsidR="00616828" w:rsidRDefault="00616828" w:rsidP="00616828">
      <w:pPr>
        <w:pStyle w:val="BodyText"/>
        <w:spacing w:line="480" w:lineRule="auto"/>
        <w:ind w:left="360" w:firstLine="360"/>
        <w:jc w:val="both"/>
      </w:pPr>
      <w:r>
        <w:t>Sementara ulama adalah bentuk jamak dari ‘</w:t>
      </w:r>
      <w:r>
        <w:rPr>
          <w:i/>
        </w:rPr>
        <w:t xml:space="preserve">alîm </w:t>
      </w:r>
      <w:r>
        <w:t>yang berarti tahu, mengerti, dan pandai. Kata ‘</w:t>
      </w:r>
      <w:r>
        <w:rPr>
          <w:i/>
        </w:rPr>
        <w:t xml:space="preserve">alîm </w:t>
      </w:r>
      <w:r>
        <w:t>terulang dalam Alquran sebanyak 106 kali, sementara kata ulama terulang sebanyak dua kali. Pertama</w:t>
      </w:r>
      <w:r>
        <w:rPr>
          <w:i/>
        </w:rPr>
        <w:t xml:space="preserve">, </w:t>
      </w:r>
      <w:r>
        <w:t>konteksnya terkait dengan ajakan untuk mengguna- kan potensinya untuk memperhatikan, mengelaborasi dan meng- eksplorasi ciptaan Allah, seperti Q.S. Fâthir/35: 28. Kedua, terkait dengan konteks kebenaran Alquran dan Nabi Muhammad SAW. sebagai penutup para nabi yang telah lama diketahui oleh Bani Israil “</w:t>
      </w:r>
      <w:r>
        <w:rPr>
          <w:i/>
        </w:rPr>
        <w:t>dan apakah tidak cukup menjadi bukti bagi mereka, bahwa para ulama Bani Israil mengetahuinya?</w:t>
      </w:r>
      <w:r>
        <w:t xml:space="preserve">.” Dengan demikian, berdasarkan kedua ayat di atas, pengertian ulama adalah ‘orang- orang yang memiliki pengetahuan tentang ayat-ayat Allah SWT., baik ayat </w:t>
      </w:r>
      <w:r>
        <w:rPr>
          <w:i/>
        </w:rPr>
        <w:t xml:space="preserve">kauniah </w:t>
      </w:r>
      <w:r>
        <w:t xml:space="preserve">maupun </w:t>
      </w:r>
      <w:r>
        <w:rPr>
          <w:i/>
        </w:rPr>
        <w:t>qauliyah</w:t>
      </w:r>
      <w:r>
        <w:t>.</w:t>
      </w:r>
      <w:r w:rsidR="007C2B17">
        <w:rPr>
          <w:rStyle w:val="FootnoteReference"/>
        </w:rPr>
        <w:footnoteReference w:id="8"/>
      </w:r>
    </w:p>
    <w:p w14:paraId="6B290E70" w14:textId="1910463A" w:rsidR="00616828" w:rsidRDefault="00616828" w:rsidP="00616828">
      <w:pPr>
        <w:pStyle w:val="BodyText"/>
        <w:spacing w:line="480" w:lineRule="auto"/>
        <w:ind w:left="360" w:firstLine="360"/>
        <w:jc w:val="both"/>
      </w:pPr>
      <w:r>
        <w:t>Sejarah kelahiran NU dimotori oleh para ulama pengasuh pondok pesantren, sehingga identitas dan nilai-nilai yang dianut di pesantren turut dibawa ke dalam organisasi ini. Dengan demikian, hubungan NUdengan pesantren sangat dekat. Abdurrahman Wahid menggambarkan ‘NU adalah pesantren yang tertulis luas, dan pesantren adalah NU yang tertulis kecil. Ungkapan ini menggambarkan bahwa NU dan pesantren tidak dapat dipisahkan. Nilai-nilai yang dianut di pesantren dengan demikian juga menjadi nilai-nilai yang dianut oleh NU, demikian juga sebaliknya.</w:t>
      </w:r>
      <w:r w:rsidR="007C2B17">
        <w:rPr>
          <w:rStyle w:val="FootnoteReference"/>
        </w:rPr>
        <w:footnoteReference w:id="9"/>
      </w:r>
    </w:p>
    <w:p w14:paraId="211BD680" w14:textId="174CDF0C" w:rsidR="00616828" w:rsidRDefault="00616828" w:rsidP="00616828">
      <w:pPr>
        <w:pStyle w:val="BodyText"/>
        <w:spacing w:line="480" w:lineRule="auto"/>
        <w:ind w:left="360" w:firstLine="360"/>
        <w:jc w:val="both"/>
      </w:pPr>
      <w:r>
        <w:t xml:space="preserve">Nilai dasar yang menjadi identitas pesantren dan NU antara lain adalah paham </w:t>
      </w:r>
      <w:r>
        <w:lastRenderedPageBreak/>
        <w:t>Ahlussunnah Waljamaah</w:t>
      </w:r>
      <w:r>
        <w:rPr>
          <w:i/>
        </w:rPr>
        <w:t xml:space="preserve">. </w:t>
      </w:r>
      <w:r>
        <w:t xml:space="preserve">Istilah Ahlussunnah Waljamaah terdiri atas tiga perkataan: </w:t>
      </w:r>
      <w:r>
        <w:rPr>
          <w:i/>
        </w:rPr>
        <w:t xml:space="preserve">ahl, al-sunnah </w:t>
      </w:r>
      <w:r>
        <w:t xml:space="preserve">dan </w:t>
      </w:r>
      <w:r>
        <w:rPr>
          <w:i/>
        </w:rPr>
        <w:t xml:space="preserve">al- jamâ‘ah. Ahl </w:t>
      </w:r>
      <w:r>
        <w:t xml:space="preserve">menurut pengertian kebahasan berarti ‘keluarga, kerabat, pengikut, atau golongan. </w:t>
      </w:r>
      <w:r>
        <w:rPr>
          <w:i/>
        </w:rPr>
        <w:t xml:space="preserve">Al-Sunnah </w:t>
      </w:r>
      <w:r>
        <w:t xml:space="preserve">berarti “hadis atau segala perkataan, perbuatan dan diamnya Nabi Muhammad SAW. atas suatu perbuatan sahabat, dan </w:t>
      </w:r>
      <w:r>
        <w:rPr>
          <w:i/>
        </w:rPr>
        <w:t xml:space="preserve">al- jamâ‘ah </w:t>
      </w:r>
      <w:r>
        <w:t>mengandung makna ‘kelompok’ ‘orang banyak’ atau ‘mayoritas.’ Jadi, secara singkat, Ahlussunnah Waljamaah berarti ‘keluarga yang terdiri atas kelompok besar masyarakat yang menjadikan hadis Nabi Muhammad SAW. sebagai pegangan hidup mereka.</w:t>
      </w:r>
      <w:r w:rsidR="007C2B17">
        <w:rPr>
          <w:rStyle w:val="FootnoteReference"/>
        </w:rPr>
        <w:footnoteReference w:id="10"/>
      </w:r>
    </w:p>
    <w:p w14:paraId="4400B10F" w14:textId="12BFC3FF" w:rsidR="00616828" w:rsidRDefault="00616828" w:rsidP="00616828">
      <w:pPr>
        <w:pStyle w:val="BodyText"/>
        <w:spacing w:line="480" w:lineRule="auto"/>
        <w:ind w:left="360" w:firstLine="360"/>
        <w:jc w:val="both"/>
      </w:pPr>
      <w:r>
        <w:t xml:space="preserve">Pengertian ini sejalan dengan definisi yang diungkapkan oleh Abdus Syukur Bangilani, sebagaimana dikutip Busyairi Harits, yang menyatakan, bahwa Ahlussunnah Waljamaah ialah orang-orang yang selalu berpedoman pada sunah Nabi Muhammad SAW. dan amal perbuatan para sahabatnya dalam masalah akidah keagamaan, amal-amal lahiriah serta akhlak hati. </w:t>
      </w:r>
      <w:r w:rsidR="007C2B17">
        <w:rPr>
          <w:rStyle w:val="FootnoteReference"/>
        </w:rPr>
        <w:footnoteReference w:id="11"/>
      </w:r>
    </w:p>
    <w:p w14:paraId="69956E01" w14:textId="53D29BE1" w:rsidR="00616828" w:rsidRDefault="00616828" w:rsidP="00616828">
      <w:pPr>
        <w:pStyle w:val="BodyText"/>
        <w:spacing w:line="480" w:lineRule="auto"/>
        <w:ind w:left="360" w:firstLine="360"/>
        <w:jc w:val="both"/>
      </w:pPr>
      <w:r>
        <w:t xml:space="preserve">Ahlussunnah Waljamaah juga memiliki beberapa nama. Pertama, </w:t>
      </w:r>
      <w:r>
        <w:rPr>
          <w:i/>
        </w:rPr>
        <w:t>ahlal-</w:t>
      </w:r>
      <w:r>
        <w:rPr>
          <w:i/>
          <w:u w:val="single"/>
        </w:rPr>
        <w:t>h</w:t>
      </w:r>
      <w:r>
        <w:rPr>
          <w:i/>
        </w:rPr>
        <w:t>adîts</w:t>
      </w:r>
      <w:r>
        <w:t xml:space="preserve"> </w:t>
      </w:r>
      <w:r>
        <w:rPr>
          <w:i/>
        </w:rPr>
        <w:t>wa al-sunnah</w:t>
      </w:r>
      <w:r>
        <w:t xml:space="preserve">, yaitu kelompok yang berpegang pada hadis dan sunnah. Kedua, </w:t>
      </w:r>
      <w:r>
        <w:rPr>
          <w:i/>
        </w:rPr>
        <w:t>Ahl al-</w:t>
      </w:r>
      <w:r>
        <w:rPr>
          <w:i/>
          <w:u w:val="single"/>
        </w:rPr>
        <w:t>h</w:t>
      </w:r>
      <w:r>
        <w:rPr>
          <w:i/>
        </w:rPr>
        <w:t>aqwa al-sunnah</w:t>
      </w:r>
      <w:r>
        <w:t>, yaitu kelompok yang berpegang pada kebenaran dan sunnah. Ahlussunnah Waljamaah disebut juga dengan nama Sunni, terutama ketika aliran ini digunakan dalam istilah politik dan dihadapkan dengan mazhab Khawarij dan Syiah.</w:t>
      </w:r>
      <w:r w:rsidR="007C2B17">
        <w:rPr>
          <w:rStyle w:val="FootnoteReference"/>
        </w:rPr>
        <w:footnoteReference w:id="12"/>
      </w:r>
    </w:p>
    <w:p w14:paraId="24AA093C" w14:textId="77777777" w:rsidR="000E0FA8" w:rsidRDefault="00616828" w:rsidP="000E0FA8">
      <w:pPr>
        <w:pStyle w:val="BodyText"/>
        <w:spacing w:line="480" w:lineRule="auto"/>
        <w:ind w:left="360" w:firstLine="360"/>
        <w:jc w:val="both"/>
      </w:pPr>
      <w:r>
        <w:t xml:space="preserve">Tidak jelas disebutkan kapan term Ahlussunnah Waljamaah muncul dan dipakai. Sebelum masa al-Asy‘ari, dimana namanya kerap dilekatkan dengan aliran ini, kata </w:t>
      </w:r>
      <w:r>
        <w:rPr>
          <w:i/>
        </w:rPr>
        <w:t>Ahl al-</w:t>
      </w:r>
      <w:r>
        <w:rPr>
          <w:i/>
        </w:rPr>
        <w:lastRenderedPageBreak/>
        <w:t xml:space="preserve">Sunnah </w:t>
      </w:r>
      <w:r>
        <w:t xml:space="preserve">atau istilah yang identik dengan itu telah ada, seperti pernyataan </w:t>
      </w:r>
      <w:r>
        <w:rPr>
          <w:i/>
        </w:rPr>
        <w:t xml:space="preserve">wa nasabu anfusahum ila al-sunnah </w:t>
      </w:r>
      <w:r>
        <w:t>(mereka menisbahkan diri sebagai pengikut sunnah).</w:t>
      </w:r>
    </w:p>
    <w:p w14:paraId="2A3119B7" w14:textId="488507F5" w:rsidR="000E0FA8" w:rsidRDefault="00616828" w:rsidP="000E0FA8">
      <w:pPr>
        <w:pStyle w:val="BodyText"/>
        <w:spacing w:line="480" w:lineRule="auto"/>
        <w:ind w:left="360" w:firstLine="360"/>
        <w:jc w:val="both"/>
      </w:pPr>
      <w:r>
        <w:t xml:space="preserve">Selain beberapa pernyataan yang mencerminkan keterikatan suatu kelompok kaum Muslim pada sunnah, ada sejumlah term yang melekat pada objek yang sama, seperti term </w:t>
      </w:r>
      <w:r>
        <w:rPr>
          <w:i/>
        </w:rPr>
        <w:t>Ahl al-</w:t>
      </w:r>
      <w:r>
        <w:rPr>
          <w:i/>
          <w:u w:val="single"/>
        </w:rPr>
        <w:t>h</w:t>
      </w:r>
      <w:r>
        <w:rPr>
          <w:i/>
        </w:rPr>
        <w:t xml:space="preserve">aq wa al-dîn wa al-jamâ‘ah </w:t>
      </w:r>
      <w:r>
        <w:t xml:space="preserve">(pemangku kebenaran, agama dan jamaah). Karena itu, sebelum mazhab al-Asy‘ariyah lahir, sudah ada pihak yang menamakan dirinya istilah </w:t>
      </w:r>
      <w:r>
        <w:rPr>
          <w:i/>
        </w:rPr>
        <w:t>Ahl al- Sunnah</w:t>
      </w:r>
      <w:r>
        <w:t>. Tokoh utamanya adalah A</w:t>
      </w:r>
      <w:r>
        <w:rPr>
          <w:u w:val="single"/>
        </w:rPr>
        <w:t>h</w:t>
      </w:r>
      <w:r>
        <w:t xml:space="preserve">mad bin </w:t>
      </w:r>
      <w:r>
        <w:rPr>
          <w:u w:val="single"/>
        </w:rPr>
        <w:t>H</w:t>
      </w:r>
      <w:r>
        <w:t xml:space="preserve">anbal. Hanya saja, </w:t>
      </w:r>
      <w:r>
        <w:rPr>
          <w:i/>
        </w:rPr>
        <w:t xml:space="preserve">Ahl al-Sunnah </w:t>
      </w:r>
      <w:r>
        <w:t>ini akhirnya lebih banyak dinisbahkan dengan mazhab Asy‘ariyah dan Mâturîdiyah, sedangkan A</w:t>
      </w:r>
      <w:r>
        <w:rPr>
          <w:u w:val="single"/>
        </w:rPr>
        <w:t>h</w:t>
      </w:r>
      <w:r>
        <w:t xml:space="preserve">mad bin </w:t>
      </w:r>
      <w:r>
        <w:rPr>
          <w:u w:val="single"/>
        </w:rPr>
        <w:t>H</w:t>
      </w:r>
      <w:r>
        <w:t>anbal biasa dinyatakan sebagai kelompok Salafiah. Terlepas dari uraian di atas, ternyata istilah Ahlussunnah Waljamaah itu telah diungkapkan oleh Jalâl al-Dîn al-Suyuthi yang diklaim berasal dari Ibn ‘Abbâs (w. 688</w:t>
      </w:r>
      <w:r w:rsidR="000E0FA8">
        <w:t xml:space="preserve"> M), dalam kitabnya </w:t>
      </w:r>
      <w:r w:rsidR="000E0FA8">
        <w:rPr>
          <w:i/>
        </w:rPr>
        <w:t xml:space="preserve">al-Dur al-Mantsûr </w:t>
      </w:r>
      <w:r w:rsidR="000E0FA8">
        <w:t xml:space="preserve">sebagai  berikut: Ibn Abi </w:t>
      </w:r>
      <w:r w:rsidR="000E0FA8">
        <w:rPr>
          <w:u w:val="single"/>
        </w:rPr>
        <w:t>H</w:t>
      </w:r>
      <w:r w:rsidR="000E0FA8">
        <w:t xml:space="preserve">âtim dan Abû Manshûr dalam kitab </w:t>
      </w:r>
      <w:r w:rsidR="000E0FA8">
        <w:rPr>
          <w:i/>
        </w:rPr>
        <w:t>al-Ibânah</w:t>
      </w:r>
      <w:r w:rsidR="000E0FA8">
        <w:t xml:space="preserve">, Khatîb dalam kitab </w:t>
      </w:r>
      <w:r w:rsidR="000E0FA8">
        <w:rPr>
          <w:i/>
        </w:rPr>
        <w:t>Târîkh</w:t>
      </w:r>
      <w:r w:rsidR="000E0FA8">
        <w:t xml:space="preserve">nya, dan al-Alkâ‘i dalam kitab </w:t>
      </w:r>
      <w:r w:rsidR="000E0FA8">
        <w:rPr>
          <w:i/>
        </w:rPr>
        <w:t xml:space="preserve">al- Sunnah </w:t>
      </w:r>
      <w:r w:rsidR="000E0FA8">
        <w:t xml:space="preserve">meriwayatkan dari Ibn ‘Abbâs, tentang tafsir ayat surat Âli ‘Imrân/5: 106, “Adapun orang-orang yang wajahnya putih berseri, adalah pengikut </w:t>
      </w:r>
      <w:r w:rsidR="000E0FA8">
        <w:rPr>
          <w:i/>
        </w:rPr>
        <w:t>Ahl al-Sunnah wa al-Jamâ‘ah</w:t>
      </w:r>
      <w:r w:rsidR="000E0FA8">
        <w:t>. Sedangkan orang-orang yang wajahnya hitam adalah pengikut bidah dan kesesatan.”</w:t>
      </w:r>
      <w:r w:rsidR="007C2B17">
        <w:rPr>
          <w:rStyle w:val="FootnoteReference"/>
        </w:rPr>
        <w:footnoteReference w:id="13"/>
      </w:r>
    </w:p>
    <w:p w14:paraId="38B44FEE" w14:textId="17F35C74" w:rsidR="0044655F" w:rsidRDefault="000E0FA8" w:rsidP="0044655F">
      <w:pPr>
        <w:pStyle w:val="BodyText"/>
        <w:spacing w:line="480" w:lineRule="auto"/>
        <w:ind w:left="360" w:firstLine="360"/>
        <w:jc w:val="both"/>
      </w:pPr>
      <w:r>
        <w:t xml:space="preserve">Jalâluddin al-Suyuthi juga mengungkapkan jalur lain terkait dengan penyebutan term ini, yaitu dari Mâlik dan Dailâmi, demikian juga dari Abû Nâshir al-Sajzi dalam kitab </w:t>
      </w:r>
      <w:r>
        <w:rPr>
          <w:i/>
        </w:rPr>
        <w:t xml:space="preserve">al-Ibânah </w:t>
      </w:r>
      <w:r>
        <w:t xml:space="preserve">yang berasal dari Sa‘id al-Khudri. Ia menyatakan sebagai berikut: Al- Khâtib dalam riwayat Mâlik dan al-Dailâmi yang berasal dari Ibn ‘Umar dari Nabi Muhammad SAW. tentang tafsir surat Âli ‘Imrân/5: 106, “adapun orang-orang yang wajahnya putih berseri, adalah pengikut </w:t>
      </w:r>
      <w:r>
        <w:rPr>
          <w:i/>
        </w:rPr>
        <w:lastRenderedPageBreak/>
        <w:t xml:space="preserve">Ahl al-Sunnah wa al-Jamâ‘ah. </w:t>
      </w:r>
      <w:r>
        <w:t xml:space="preserve">Sedangkan orang-orang yang wajahnya hitam adalah pengikut bidah”.Kemudian Abû Nâshir al-Sajzi dalam </w:t>
      </w:r>
      <w:r>
        <w:rPr>
          <w:i/>
        </w:rPr>
        <w:t xml:space="preserve">al-Ibânah </w:t>
      </w:r>
      <w:r>
        <w:t>yang berasal dari Sa‘id al-Khudri juga menyatakan bahwa Rasulullah SAW. sewaktu membaca surat Âli ‘Imrân/5: 106 menyatakan, “</w:t>
      </w:r>
      <w:r>
        <w:rPr>
          <w:i/>
        </w:rPr>
        <w:t>adapun orang-orang yang wajahnya putih berseri, adalah pengikut Ahl al-Sunnah wa al-Jamâ‘ah</w:t>
      </w:r>
      <w:r>
        <w:t>. Sedangkan orang-orang yang wajahnya hitam adalah pengikut bidah dan kesesatan.”</w:t>
      </w:r>
      <w:r w:rsidR="007C2B17">
        <w:rPr>
          <w:rStyle w:val="FootnoteReference"/>
        </w:rPr>
        <w:footnoteReference w:id="14"/>
      </w:r>
    </w:p>
    <w:p w14:paraId="786B3E1E" w14:textId="26AECBFF" w:rsidR="000E0FA8" w:rsidRDefault="000E0FA8" w:rsidP="0044655F">
      <w:pPr>
        <w:pStyle w:val="BodyText"/>
        <w:spacing w:line="480" w:lineRule="auto"/>
        <w:ind w:left="360" w:firstLine="360"/>
        <w:jc w:val="both"/>
      </w:pPr>
      <w:r>
        <w:t xml:space="preserve">Dengan demikian, berdasarkan pada argumen ini, term Ahlussunnah Waljamaah ternyata telah ada semenjakNabi Muhammad SAW. dan sahabat dan telah disebutkan oleh para ulama dalam berbagai buku mereka. Namun, perbincangan mengenai term ini semakin intens pada era tabiin dan ulama Salaf sesudahnya, seperti khalifah ‘Umar bin ‘Abd al-Azîz (w. 720M), Imam </w:t>
      </w:r>
      <w:r>
        <w:rPr>
          <w:u w:val="single"/>
        </w:rPr>
        <w:t>H</w:t>
      </w:r>
      <w:r>
        <w:t>asan bin Yasar al-Basri (w. 729 M), Imam Mu</w:t>
      </w:r>
      <w:r>
        <w:rPr>
          <w:u w:val="single"/>
        </w:rPr>
        <w:t>h</w:t>
      </w:r>
      <w:r>
        <w:t>ammad bin Sirin (33- w. 729 M), dan Imam Sufyân bin Sa‘id al-Sauri (w. 778 M).</w:t>
      </w:r>
      <w:r w:rsidR="007C2B17">
        <w:rPr>
          <w:rStyle w:val="FootnoteReference"/>
        </w:rPr>
        <w:footnoteReference w:id="15"/>
      </w:r>
    </w:p>
    <w:p w14:paraId="453AEAE0" w14:textId="7B8BB65A" w:rsidR="000E0FA8" w:rsidRDefault="000E0FA8" w:rsidP="000E0FA8">
      <w:pPr>
        <w:pStyle w:val="BodyText"/>
        <w:spacing w:line="480" w:lineRule="auto"/>
        <w:ind w:left="360" w:firstLine="360"/>
        <w:jc w:val="both"/>
      </w:pPr>
      <w:r>
        <w:t>Ditinjau dari sudut historis, istilah Ahlussunnah Waljamaah ternyata tidak memiliki arti monolitik yang menunjuk pada satu arti, akan tetapi mengalami perubahan konotasi sesuai dengan konteks sejarah masing-masing. Setidaknya, ada tiga fase perkembangan pengertian Ahlussunnah Waljamaah yang diidentikkan pada kelompok orang dan aliran tertentu.</w:t>
      </w:r>
      <w:r w:rsidR="007C2B17">
        <w:rPr>
          <w:rStyle w:val="FootnoteReference"/>
        </w:rPr>
        <w:footnoteReference w:id="16"/>
      </w:r>
    </w:p>
    <w:p w14:paraId="00517576" w14:textId="37E57F85" w:rsidR="0044655F" w:rsidRDefault="000E0FA8" w:rsidP="0044655F">
      <w:pPr>
        <w:pStyle w:val="BodyText"/>
        <w:spacing w:line="480" w:lineRule="auto"/>
        <w:ind w:left="360" w:firstLine="360"/>
        <w:jc w:val="both"/>
      </w:pPr>
      <w:r>
        <w:t xml:space="preserve">Pertama, Ahlussunnah Waljamaah identik dengan sebutan nama kelompok ulama ahli Hadis yang lebih banyak merujuk hadis dalam menjawab masalah-masalah agama ketimbang </w:t>
      </w:r>
      <w:r>
        <w:lastRenderedPageBreak/>
        <w:t xml:space="preserve">penggunaan rasio. Kelompok ini lebih banyak tinggal di daerah Madinah dan mulai dipandang sebagai kekuatan elit intelektual yang cukup berpengaruh di masyarakat pada saat gelombang pemahaman hukum bercorak </w:t>
      </w:r>
      <w:r>
        <w:rPr>
          <w:i/>
        </w:rPr>
        <w:t xml:space="preserve">ra’y </w:t>
      </w:r>
      <w:r>
        <w:t>di Basrah merebak. Secara politis mereka tidak berafiliasi dengan kelompok mana pun dan sering mengambil jarak dengan urusan politik. Mereka lebih memilih integritas umat dan stabilitas sosial.</w:t>
      </w:r>
      <w:r w:rsidR="0044655F">
        <w:t xml:space="preserve"> </w:t>
      </w:r>
      <w:r w:rsidR="007C2B17">
        <w:rPr>
          <w:rStyle w:val="FootnoteReference"/>
        </w:rPr>
        <w:footnoteReference w:id="17"/>
      </w:r>
    </w:p>
    <w:p w14:paraId="5013DA6D" w14:textId="3B432652" w:rsidR="0044655F" w:rsidRDefault="000E0FA8" w:rsidP="0044655F">
      <w:pPr>
        <w:pStyle w:val="BodyText"/>
        <w:spacing w:line="480" w:lineRule="auto"/>
        <w:ind w:left="360" w:firstLine="360"/>
        <w:jc w:val="both"/>
      </w:pPr>
      <w:r>
        <w:t>Pada era Khalifah ‘Umar bin ‘Abd al-‘Azîz (103 H.), kelompok ini dirangkul sebagai kelompok pendukung khalifah untuk memperkuat posisi politiknya dengan target dapat mendinginkan atmosfir politik yang terus bergolak. Akan tetapi kelompok ini mulai ditinggalkan oleh penguasa Abbasiyah, terutama pada masa pemeritahan Khalifah al</w:t>
      </w:r>
      <w:r w:rsidR="0044655F">
        <w:t xml:space="preserve"> </w:t>
      </w:r>
      <w:r>
        <w:t>Ma’mun, al-Mu’tashim, dan al-Watsiq yang lebih tertarik dengan pengembangan tradisi keilmuan impor dan teologi yang  bersifat rasional Muktazilah. Bahkan A</w:t>
      </w:r>
      <w:r>
        <w:rPr>
          <w:u w:val="single"/>
        </w:rPr>
        <w:t>h</w:t>
      </w:r>
      <w:r>
        <w:t xml:space="preserve">mad ibn </w:t>
      </w:r>
      <w:r>
        <w:rPr>
          <w:u w:val="single"/>
        </w:rPr>
        <w:t>H</w:t>
      </w:r>
      <w:r>
        <w:t>anbal menjadi korban kebijakan khalifah dalam penerapan inkuisisi yang populer</w:t>
      </w:r>
      <w:r w:rsidR="0044655F">
        <w:t xml:space="preserve"> dengan </w:t>
      </w:r>
      <w:r w:rsidR="0044655F">
        <w:rPr>
          <w:i/>
        </w:rPr>
        <w:t>al-mi</w:t>
      </w:r>
      <w:r w:rsidR="0044655F">
        <w:rPr>
          <w:i/>
          <w:u w:val="single"/>
        </w:rPr>
        <w:t>h</w:t>
      </w:r>
      <w:r w:rsidR="0044655F">
        <w:rPr>
          <w:i/>
        </w:rPr>
        <w:t xml:space="preserve">nah. </w:t>
      </w:r>
      <w:r w:rsidR="0044655F">
        <w:t xml:space="preserve">Ibn </w:t>
      </w:r>
      <w:r w:rsidR="0044655F">
        <w:rPr>
          <w:u w:val="single"/>
        </w:rPr>
        <w:t>H</w:t>
      </w:r>
      <w:r w:rsidR="0044655F">
        <w:t xml:space="preserve">anbal bahkan meninggal di dalam penjara dan menjadi simbol perlawanan </w:t>
      </w:r>
      <w:r w:rsidR="0044655F">
        <w:rPr>
          <w:i/>
        </w:rPr>
        <w:t xml:space="preserve">Ahlal-Sunnah </w:t>
      </w:r>
      <w:r w:rsidR="0044655F">
        <w:t xml:space="preserve">terhadap pemerintah yang memberlakukan Muktazilah sebagai aliran resmi negara. Pada fase ini, istilah Ahlussunnah Waljamaah dipahami sebagai golongan yang memegang teguh tradisi Nabi. </w:t>
      </w:r>
      <w:r w:rsidR="005D7CD1">
        <w:rPr>
          <w:rStyle w:val="FootnoteReference"/>
        </w:rPr>
        <w:footnoteReference w:id="18"/>
      </w:r>
    </w:p>
    <w:p w14:paraId="24AF6809" w14:textId="7F26B668" w:rsidR="0044655F" w:rsidRDefault="0044655F" w:rsidP="0044655F">
      <w:pPr>
        <w:pStyle w:val="BodyText"/>
        <w:spacing w:line="480" w:lineRule="auto"/>
        <w:ind w:left="360" w:firstLine="360"/>
        <w:jc w:val="both"/>
      </w:pPr>
      <w:r>
        <w:t>Fase kedua</w:t>
      </w:r>
      <w:r>
        <w:rPr>
          <w:i/>
        </w:rPr>
        <w:t xml:space="preserve">, </w:t>
      </w:r>
      <w:r>
        <w:t xml:space="preserve">istilah Ahlussunnah Waljamaah mengalami perubahan menjadi sebuah nama bagi kelompok yang mengikuti aliran teologi yang dibawa oleh Abû </w:t>
      </w:r>
      <w:r>
        <w:rPr>
          <w:u w:val="single"/>
        </w:rPr>
        <w:t>H</w:t>
      </w:r>
      <w:r>
        <w:t>asan al-Asy</w:t>
      </w:r>
      <w:r>
        <w:rPr>
          <w:i/>
        </w:rPr>
        <w:t>‘</w:t>
      </w:r>
      <w:r>
        <w:t xml:space="preserve">ari (w. 935 M) di daerah Bashrah dan Abû Manshûr al-Mâturîdi (w. 944 M) di Samarkand. Dua tokoh Muktazilah ini membelot dan mendirikan aliran baru dan mendukung ahli hadis. </w:t>
      </w:r>
      <w:r>
        <w:lastRenderedPageBreak/>
        <w:t>Setelah khalifah al-Mutawakkil, salah seorang khalifah Abbasiyah, mencabut kebijakan pendahulunya yang menjadikan aliran Muktazilah sebagai aliran resmi negara di abad ke-3 Hijriyah.</w:t>
      </w:r>
      <w:r w:rsidR="005D7CD1">
        <w:rPr>
          <w:rStyle w:val="FootnoteReference"/>
        </w:rPr>
        <w:footnoteReference w:id="19"/>
      </w:r>
    </w:p>
    <w:p w14:paraId="7836DA5D" w14:textId="78FC19EB" w:rsidR="0044655F" w:rsidRDefault="0044655F" w:rsidP="0044655F">
      <w:pPr>
        <w:pStyle w:val="BodyText"/>
        <w:spacing w:line="480" w:lineRule="auto"/>
        <w:ind w:left="360" w:firstLine="360"/>
        <w:jc w:val="both"/>
      </w:pPr>
      <w:r>
        <w:t>Pandangan al-Asy</w:t>
      </w:r>
      <w:r>
        <w:rPr>
          <w:i/>
        </w:rPr>
        <w:t>‘</w:t>
      </w:r>
      <w:r>
        <w:t xml:space="preserve">ari yang banyak membantah argumen-argumen aliran Muktazilah mendapat simpati dari kalangan </w:t>
      </w:r>
      <w:r>
        <w:rPr>
          <w:i/>
        </w:rPr>
        <w:t xml:space="preserve">Ahl al-Sunnah. </w:t>
      </w:r>
      <w:r>
        <w:t xml:space="preserve">Kelompok </w:t>
      </w:r>
      <w:r>
        <w:rPr>
          <w:i/>
        </w:rPr>
        <w:t xml:space="preserve">Ahlal-Sunnah </w:t>
      </w:r>
      <w:r>
        <w:t>saat itu sudah mulai mendapat dukungan masyarakat luas. Gerakan perlawanan yang dimainkan oleh kedua tokoh ini bukan saja berhasil membendung aliran Muktazilah, akan tetapi justru bergulir menjadi arus utama pemikiran Islam yangdominan hingga dewasaini. Padafase ini pengertian Ahlussunnah Waljamaah menjadi lebih sempit sebagai sebutan bagi kelompok umat yang menganut teologi Sunni yang direpresentasikan oleh aliran Asy</w:t>
      </w:r>
      <w:r>
        <w:rPr>
          <w:i/>
        </w:rPr>
        <w:t>‘</w:t>
      </w:r>
      <w:r>
        <w:t>ariyah dan pengikutnya.</w:t>
      </w:r>
      <w:r w:rsidR="005D7CD1">
        <w:rPr>
          <w:rStyle w:val="FootnoteReference"/>
        </w:rPr>
        <w:footnoteReference w:id="20"/>
      </w:r>
    </w:p>
    <w:p w14:paraId="6B640B5B" w14:textId="5015823F" w:rsidR="001E4CAC" w:rsidRDefault="0044655F" w:rsidP="001E4CAC">
      <w:pPr>
        <w:pStyle w:val="BodyText"/>
        <w:spacing w:line="480" w:lineRule="auto"/>
        <w:ind w:left="360" w:firstLine="360"/>
        <w:jc w:val="both"/>
      </w:pPr>
      <w:r>
        <w:t xml:space="preserve">Namun dalam penggal sejarahnya, aliran Asy‘ariyah pernah tidak diakui sebagai bagian dari </w:t>
      </w:r>
      <w:r>
        <w:rPr>
          <w:i/>
        </w:rPr>
        <w:t xml:space="preserve">Ahl al-Sunnah. </w:t>
      </w:r>
      <w:r>
        <w:t xml:space="preserve">Penolakan itu datang dari pengikut </w:t>
      </w:r>
      <w:r>
        <w:rPr>
          <w:u w:val="single"/>
        </w:rPr>
        <w:t>H</w:t>
      </w:r>
      <w:r>
        <w:t xml:space="preserve">anabilah setelah al-Asy‘ari menulis kitab </w:t>
      </w:r>
      <w:r>
        <w:rPr>
          <w:i/>
        </w:rPr>
        <w:t>Isti</w:t>
      </w:r>
      <w:r>
        <w:rPr>
          <w:i/>
          <w:u w:val="single"/>
        </w:rPr>
        <w:t>h</w:t>
      </w:r>
      <w:r>
        <w:rPr>
          <w:i/>
        </w:rPr>
        <w:t xml:space="preserve">sân </w:t>
      </w:r>
      <w:r>
        <w:t xml:space="preserve">yang berani mengkritik metode berpikir kalangan ahli hadis yang cenderung literalis dan antromorfis. Pada saat itu, al-Asy‘ari mulai memperkenalkan pola berpikir ahli hadis yang lebih sistematis dan rasional dalam membicarakan teologi. Perseteruan ini terus berlanjut dengan satu tuduhan bahwa al-Asy‘ari dinilai lebih mirip Muktazilah karena masih menerapkan takwil dalam memahami ayat- ayat </w:t>
      </w:r>
      <w:r>
        <w:rPr>
          <w:i/>
        </w:rPr>
        <w:t>mutasyâbihat</w:t>
      </w:r>
      <w:r>
        <w:t>. Dampak dari perseteruan ini melahirkan dua kelompok, yaitu Ahlussunnah Waljamaah Khalaf yang didukung oleh aliran Asy‘ariyah dan Mâturîdiyah, dan Ahlussunnah Waljamaah Salaf yang didukung oleh kelompok ahli hadis pengikut A</w:t>
      </w:r>
      <w:r>
        <w:rPr>
          <w:u w:val="single"/>
        </w:rPr>
        <w:t>h</w:t>
      </w:r>
      <w:r>
        <w:t xml:space="preserve">mad ibn </w:t>
      </w:r>
      <w:r>
        <w:rPr>
          <w:u w:val="single"/>
        </w:rPr>
        <w:t>H</w:t>
      </w:r>
      <w:r>
        <w:t>anbal.</w:t>
      </w:r>
      <w:r w:rsidR="005D7CD1">
        <w:rPr>
          <w:rStyle w:val="FootnoteReference"/>
        </w:rPr>
        <w:footnoteReference w:id="21"/>
      </w:r>
    </w:p>
    <w:p w14:paraId="78149FB6" w14:textId="03DE3E7F" w:rsidR="001E4CAC" w:rsidRDefault="0044655F" w:rsidP="001E4CAC">
      <w:pPr>
        <w:pStyle w:val="BodyText"/>
        <w:spacing w:line="480" w:lineRule="auto"/>
        <w:ind w:left="360" w:firstLine="360"/>
        <w:jc w:val="both"/>
      </w:pPr>
      <w:r>
        <w:lastRenderedPageBreak/>
        <w:t xml:space="preserve">Fase ketiga, istilah Ahlussunnah Waljamaah berkembang menjadi pengelompokan entitas politik yang membedakan dirinya dari kekuatan politik Syiah. Untuk pengertian ini, Ahlussunnah Waljamaah berarti kelompok Muslim </w:t>
      </w:r>
      <w:r>
        <w:rPr>
          <w:i/>
        </w:rPr>
        <w:t xml:space="preserve">Ahl al-Sunnah </w:t>
      </w:r>
      <w:r>
        <w:t>yang lebih dikenal dengan sebutan Sunni yang sering bertentangan dengan Syiah.</w:t>
      </w:r>
      <w:r w:rsidR="005D7CD1">
        <w:rPr>
          <w:rStyle w:val="FootnoteReference"/>
        </w:rPr>
        <w:footnoteReference w:id="22"/>
      </w:r>
    </w:p>
    <w:p w14:paraId="4A3FFA7C" w14:textId="659A7786" w:rsidR="001E4CAC" w:rsidRDefault="0044655F" w:rsidP="001E4CAC">
      <w:pPr>
        <w:pStyle w:val="BodyText"/>
        <w:spacing w:line="480" w:lineRule="auto"/>
        <w:ind w:left="360" w:firstLine="360"/>
        <w:jc w:val="both"/>
      </w:pPr>
      <w:r>
        <w:t>Saat ini, di intern Sunni sendiri, istilah Ahlussunnah Waljamaah menjadi rebutan antara kelompok Ahlussunnah Waljamaah Khalaf yang didukung oleh kelompok Islam di luar Saudi Arabia dan Ahlussunnah Waljamaah Salaf yang disokong oleh aliran Wahabiyah di Saudi Arabia.</w:t>
      </w:r>
      <w:r w:rsidR="005D7CD1">
        <w:rPr>
          <w:rStyle w:val="FootnoteReference"/>
        </w:rPr>
        <w:footnoteReference w:id="23"/>
      </w:r>
    </w:p>
    <w:p w14:paraId="13793A25" w14:textId="1C28280F" w:rsidR="001E4CAC" w:rsidRPr="001E4CAC" w:rsidRDefault="0044655F" w:rsidP="001E4CAC">
      <w:pPr>
        <w:pStyle w:val="BodyText"/>
        <w:spacing w:line="480" w:lineRule="auto"/>
        <w:ind w:left="360" w:firstLine="360"/>
        <w:jc w:val="both"/>
        <w:rPr>
          <w:b/>
          <w:bCs/>
        </w:rPr>
      </w:pPr>
      <w:r>
        <w:t>Merujuk pada kategori di atas, kelihatannya NU sebagai organisasi yang merujuk pada nilai-nilai dasar yang dianut para kiai pesantren bisa dikategorikan pada Ahlussunnah Waljamaah Khalaf. Di awal kelahirannya, sebagaimana terdapat dalam Qanun Asasi (Anggaran Dasar) NU</w:t>
      </w:r>
      <w:r>
        <w:rPr>
          <w:i/>
        </w:rPr>
        <w:t xml:space="preserve">, </w:t>
      </w:r>
      <w:r>
        <w:t xml:space="preserve">Ahlussunnah Waljamaah (Aswaja) diformulasikan sebagai aliran yang mendasarkan pemahaman- nya dalam bidang fikih kepada empat mazhab, yaitu Malikiyah, </w:t>
      </w:r>
      <w:r>
        <w:rPr>
          <w:u w:val="single"/>
        </w:rPr>
        <w:t>H</w:t>
      </w:r>
      <w:r>
        <w:t>anafiyah, Syâfi</w:t>
      </w:r>
      <w:r>
        <w:rPr>
          <w:i/>
        </w:rPr>
        <w:t>‘</w:t>
      </w:r>
      <w:r>
        <w:t xml:space="preserve">iyah dan </w:t>
      </w:r>
      <w:r>
        <w:rPr>
          <w:u w:val="single"/>
        </w:rPr>
        <w:t>H</w:t>
      </w:r>
      <w:r>
        <w:t>anbaliyah, dan dalam bidang tauhid kepada</w:t>
      </w:r>
      <w:r w:rsidR="001E4CAC">
        <w:t xml:space="preserve"> Abûal-</w:t>
      </w:r>
      <w:r w:rsidR="001E4CAC">
        <w:rPr>
          <w:u w:val="single"/>
        </w:rPr>
        <w:t>H</w:t>
      </w:r>
      <w:r w:rsidR="001E4CAC">
        <w:t>asan Asy‘ari dan Abû Manshûr Mâturîdi, sedangkan dalam bidang tasawuf kepada al-Ghazâlî dan Junaid al-Baghdâdî.</w:t>
      </w:r>
      <w:r w:rsidR="005D7CD1">
        <w:rPr>
          <w:rStyle w:val="FootnoteReference"/>
        </w:rPr>
        <w:footnoteReference w:id="24"/>
      </w:r>
    </w:p>
    <w:p w14:paraId="2CB861C7" w14:textId="77777777" w:rsidR="001E4CAC" w:rsidRDefault="001E4CAC" w:rsidP="001E4CAC">
      <w:pPr>
        <w:pStyle w:val="BodyText"/>
        <w:numPr>
          <w:ilvl w:val="0"/>
          <w:numId w:val="10"/>
        </w:numPr>
        <w:spacing w:line="480" w:lineRule="auto"/>
        <w:jc w:val="both"/>
        <w:rPr>
          <w:b/>
          <w:bCs/>
        </w:rPr>
      </w:pPr>
      <w:r w:rsidRPr="001E4CAC">
        <w:rPr>
          <w:b/>
          <w:bCs/>
        </w:rPr>
        <w:t>NU dan Tradisi Sunni</w:t>
      </w:r>
    </w:p>
    <w:p w14:paraId="388BDBF2" w14:textId="77777777" w:rsidR="001E4CAC" w:rsidRDefault="001E4CAC" w:rsidP="001E4CAC">
      <w:pPr>
        <w:pStyle w:val="BodyText"/>
        <w:spacing w:line="480" w:lineRule="auto"/>
        <w:ind w:left="360" w:firstLine="360"/>
        <w:jc w:val="both"/>
      </w:pPr>
      <w:r>
        <w:t xml:space="preserve">Seiring dengan perkembangan NU, di tangan para tokohnya, pemahaman term Ahlussunnah Waljamaah (Aswaja) mengalami perkembangan. Istilah ini lebih dipahami </w:t>
      </w:r>
      <w:r>
        <w:lastRenderedPageBreak/>
        <w:t>sebagai sebuah metode (</w:t>
      </w:r>
      <w:r>
        <w:rPr>
          <w:i/>
        </w:rPr>
        <w:t>manhaj</w:t>
      </w:r>
      <w:r>
        <w:t>) berpikir. Said Aqil Siradj misalnya, mendefinisikan Aswaja sebagai orang-orang yang memiliki metode berpikir keagamaan yang mencakup semuaaspekkehidupan yang berlandaskan atas dasar-dasar moderasi, menjaga keseimbangan, dan toleran.</w:t>
      </w:r>
    </w:p>
    <w:p w14:paraId="6881A5C8" w14:textId="08E890A6" w:rsidR="001E4CAC" w:rsidRDefault="001E4CAC" w:rsidP="001E4CAC">
      <w:pPr>
        <w:pStyle w:val="BodyText"/>
        <w:spacing w:line="480" w:lineRule="auto"/>
        <w:ind w:left="360" w:firstLine="360"/>
        <w:jc w:val="both"/>
      </w:pPr>
      <w:r>
        <w:t>Menurut Siradj, moderasi Aswaja terlihat pada metodepengambilan (</w:t>
      </w:r>
      <w:r>
        <w:rPr>
          <w:i/>
        </w:rPr>
        <w:t>istinbâth</w:t>
      </w:r>
      <w:r>
        <w:t xml:space="preserve">) hukum yang tidak hanya memakai </w:t>
      </w:r>
      <w:r>
        <w:rPr>
          <w:i/>
        </w:rPr>
        <w:t>nash</w:t>
      </w:r>
      <w:r>
        <w:t>, tetapi juga memperhatikan kedudukan akal. Begitu pula dalam wacana berpikir senantiasa menjembatani antara wahyu dengan akal (</w:t>
      </w:r>
      <w:r>
        <w:rPr>
          <w:i/>
        </w:rPr>
        <w:t>al-ra’y</w:t>
      </w:r>
      <w:r>
        <w:t>). Metode (</w:t>
      </w:r>
      <w:r>
        <w:rPr>
          <w:i/>
        </w:rPr>
        <w:t>manhaj</w:t>
      </w:r>
      <w:r>
        <w:t>) seperti inilah yang diterapkan oleh pendiri fikih mazhab empat serta generasi eraberikutnya dalam menemukan hukum-hukum (fikih).</w:t>
      </w:r>
      <w:r w:rsidR="005D7CD1">
        <w:rPr>
          <w:rStyle w:val="FootnoteReference"/>
        </w:rPr>
        <w:footnoteReference w:id="25"/>
      </w:r>
    </w:p>
    <w:p w14:paraId="50C1E5D0" w14:textId="77777777" w:rsidR="001E4CAC" w:rsidRDefault="001E4CAC" w:rsidP="001E4CAC">
      <w:pPr>
        <w:pStyle w:val="BodyText"/>
        <w:spacing w:line="480" w:lineRule="auto"/>
        <w:ind w:left="360" w:firstLine="360"/>
        <w:jc w:val="both"/>
        <w:rPr>
          <w:vertAlign w:val="superscript"/>
        </w:rPr>
      </w:pPr>
      <w:r>
        <w:t>Adapun sifat netral (</w:t>
      </w:r>
      <w:r>
        <w:rPr>
          <w:i/>
        </w:rPr>
        <w:t>tawâzun</w:t>
      </w:r>
      <w:r>
        <w:t xml:space="preserve">) Aswaja berhubungan dengan sikap mereka dalam bidang politik. Aswajatidak terlalu membenarkan kelompok garis keras (ekstrim). Akan tetapi, jika berhadapan dengan penguasa politik yang zalim, mereka tidak segan-segan mengambil jarak dan mengadakan aliansi. Dengan kata lain, suatu saat mereka bisa akomodatif, suatu saat bisa lebih dari itu meskipun masih dalam batas </w:t>
      </w:r>
      <w:r>
        <w:rPr>
          <w:i/>
        </w:rPr>
        <w:t>tawâzun.</w:t>
      </w:r>
    </w:p>
    <w:p w14:paraId="399A3594" w14:textId="669EAFBD" w:rsidR="00F41399" w:rsidRDefault="001E4CAC" w:rsidP="00F41399">
      <w:pPr>
        <w:pStyle w:val="BodyText"/>
        <w:spacing w:line="480" w:lineRule="auto"/>
        <w:ind w:left="360" w:firstLine="360"/>
        <w:jc w:val="both"/>
      </w:pPr>
      <w:r>
        <w:t>Sedangkan keseimbangan (</w:t>
      </w:r>
      <w:r>
        <w:rPr>
          <w:i/>
        </w:rPr>
        <w:t>ta‘âdul</w:t>
      </w:r>
      <w:r>
        <w:t>) Aswaja terefleksikan pada kiprah mereka dalam kehidupan sosial, cara mereka bergaul serta kondisi sosial budaya mereka. Begitu pula</w:t>
      </w:r>
      <w:r w:rsidR="00F41399">
        <w:t xml:space="preserve"> sikap toleran (</w:t>
      </w:r>
      <w:r w:rsidR="00F41399">
        <w:rPr>
          <w:i/>
        </w:rPr>
        <w:t>tasâmu</w:t>
      </w:r>
      <w:r w:rsidR="00F41399">
        <w:rPr>
          <w:i/>
          <w:u w:val="single"/>
        </w:rPr>
        <w:t>h</w:t>
      </w:r>
      <w:r w:rsidR="00F41399">
        <w:t xml:space="preserve">) Asawaja tampak dalam pergaulan dengan sesama Muslim yang tidak mengkafirkan </w:t>
      </w:r>
      <w:r w:rsidR="00F41399">
        <w:rPr>
          <w:i/>
        </w:rPr>
        <w:t xml:space="preserve">ahl al-qiblat </w:t>
      </w:r>
      <w:r w:rsidR="00F41399">
        <w:t>serta senantiasa ber-</w:t>
      </w:r>
      <w:r w:rsidR="00F41399">
        <w:rPr>
          <w:i/>
        </w:rPr>
        <w:t>tasâmu</w:t>
      </w:r>
      <w:r w:rsidR="00F41399">
        <w:rPr>
          <w:i/>
          <w:u w:val="single"/>
        </w:rPr>
        <w:t>h</w:t>
      </w:r>
      <w:r w:rsidR="00F41399">
        <w:rPr>
          <w:i/>
        </w:rPr>
        <w:t xml:space="preserve"> </w:t>
      </w:r>
      <w:r w:rsidR="00F41399">
        <w:t>terhadap sesama Muslim maupun umat manusia pada umumnya.</w:t>
      </w:r>
      <w:r w:rsidR="005D7CD1">
        <w:rPr>
          <w:rStyle w:val="FootnoteReference"/>
        </w:rPr>
        <w:footnoteReference w:id="26"/>
      </w:r>
    </w:p>
    <w:p w14:paraId="6C064083" w14:textId="7EEAD70C" w:rsidR="00F41399" w:rsidRDefault="00F41399" w:rsidP="00F41399">
      <w:pPr>
        <w:pStyle w:val="BodyText"/>
        <w:spacing w:line="480" w:lineRule="auto"/>
        <w:ind w:left="360" w:firstLine="360"/>
        <w:jc w:val="both"/>
      </w:pPr>
      <w:r>
        <w:t xml:space="preserve">Dinamika Ahlussunnah Waljamaah tidak hanya sampai di sini, tokoh-tokoh NU lain juga </w:t>
      </w:r>
      <w:r>
        <w:lastRenderedPageBreak/>
        <w:t>telah banyak menyampaikan pemikiran dan gagasannya menyangkut term ini sebagai upaya kontektualisasi prinsip dasar tersebut sehingga tetap aktual dan dapat menjawab tantangan perubahan. Hasyim Muzadi misalnya menyatakan, bahwa prinsip Ahlussunnah Waljamaah mengandung dua elemen penting yang sebenarnya tercermin dari istilahnya sendiri.</w:t>
      </w:r>
      <w:r w:rsidR="005D7CD1">
        <w:rPr>
          <w:rStyle w:val="FootnoteReference"/>
        </w:rPr>
        <w:footnoteReference w:id="27"/>
      </w:r>
    </w:p>
    <w:p w14:paraId="46E5C1F3" w14:textId="77777777" w:rsidR="00F41399" w:rsidRDefault="00F41399" w:rsidP="00F41399">
      <w:pPr>
        <w:pStyle w:val="BodyText"/>
        <w:spacing w:line="480" w:lineRule="auto"/>
        <w:ind w:left="360" w:firstLine="360"/>
        <w:jc w:val="both"/>
      </w:pPr>
      <w:r>
        <w:t xml:space="preserve">Ahlussunnah Waljamaah menggambarkan bagaimana agama harus ditafsirkan dan dipraktikkan berdasarkan ajaran Rasulullah SAW., sebagai kebalikan </w:t>
      </w:r>
      <w:r>
        <w:rPr>
          <w:i/>
        </w:rPr>
        <w:t xml:space="preserve">ahl al- bid‘ah. </w:t>
      </w:r>
      <w:r>
        <w:t>Kehidupan Rasulullah sudah pasti tidak mungkin keluar dari dimensi ruang dan waktu yang punya “keterbatasan” untuk dijadikan pedoman dalam memahami Islam dikarenakan dua hal.</w:t>
      </w:r>
    </w:p>
    <w:p w14:paraId="774E5187" w14:textId="231DBCC9" w:rsidR="00F41399" w:rsidRDefault="00F41399" w:rsidP="00F41399">
      <w:pPr>
        <w:pStyle w:val="BodyText"/>
        <w:spacing w:line="480" w:lineRule="auto"/>
        <w:ind w:left="360" w:firstLine="360"/>
        <w:jc w:val="both"/>
      </w:pPr>
      <w:r>
        <w:t>Pertama, apa yang disampaikannya sebagai kehendak Ilahi untuk mengatur sekaligus memaknai kehidupan umat manusia bisa jadi hanya mencakup kaidah-kaidah dasar serta norma- norma ideal yang bersifat universal. Kalaupun berbicara pada dataran operasional, puluhan tahun masa yang dihabiskan Rasul terakhir tersebut tentu belum mencukupi untuk menjelaskan dan mengurai seluruh aspek realitas persoalan yang dihadapi masyarakat sepanjang masa, sehingga masih menyisakan ruang perdebatan. Kedua, sebagian kompleksitas masalah yang dicover oleh titah Tuhan melalui Rasul-Nya</w:t>
      </w:r>
      <w:r w:rsidR="005D7CD1">
        <w:rPr>
          <w:rStyle w:val="FootnoteReference"/>
        </w:rPr>
        <w:footnoteReference w:id="28"/>
      </w:r>
    </w:p>
    <w:p w14:paraId="129AA879" w14:textId="77777777" w:rsidR="00F41399" w:rsidRDefault="00F41399" w:rsidP="00F41399">
      <w:pPr>
        <w:pStyle w:val="BodyText"/>
        <w:spacing w:line="480" w:lineRule="auto"/>
        <w:ind w:left="360" w:firstLine="360"/>
        <w:jc w:val="both"/>
      </w:pPr>
      <w:r>
        <w:t xml:space="preserve">sangat mungkin disesuaikan dengan kebutuhan zamannya meskipun tidak boleh diartikan sebagai pembatasan Kemahatahuan Allah yang mengatasi ruang dan waktu. Artinya, kontekstualisasi ajaran agama, mau tidak mau, menjadi sebuah keniscayaan, yang di sisi lain menuntut perluasan pemaknan ajaran Islam lewat metode-metode tertentu yang berkaitan dengan </w:t>
      </w:r>
      <w:r>
        <w:rPr>
          <w:i/>
        </w:rPr>
        <w:t>istinbâth al-a</w:t>
      </w:r>
      <w:r>
        <w:rPr>
          <w:i/>
          <w:u w:val="single"/>
        </w:rPr>
        <w:t>h</w:t>
      </w:r>
      <w:r>
        <w:rPr>
          <w:i/>
        </w:rPr>
        <w:t xml:space="preserve">kâm </w:t>
      </w:r>
      <w:r>
        <w:t xml:space="preserve">demi menghindari “kebuntuan” penyesuaian masalah keagamaan. </w:t>
      </w:r>
    </w:p>
    <w:p w14:paraId="523DEA52" w14:textId="5B3BBE33" w:rsidR="00F41399" w:rsidRDefault="00F41399" w:rsidP="00F41399">
      <w:pPr>
        <w:pStyle w:val="BodyText"/>
        <w:spacing w:line="480" w:lineRule="auto"/>
        <w:ind w:left="360" w:firstLine="360"/>
        <w:jc w:val="both"/>
        <w:rPr>
          <w:vertAlign w:val="superscript"/>
        </w:rPr>
      </w:pPr>
      <w:r>
        <w:lastRenderedPageBreak/>
        <w:t xml:space="preserve">Dengan demikian, menurut Hasyim Muzadi, Ahlussunnah Waljamaah pada dasarnya berupaya mengawinkan antara berbagai </w:t>
      </w:r>
      <w:r>
        <w:rPr>
          <w:i/>
        </w:rPr>
        <w:t xml:space="preserve">living tradition </w:t>
      </w:r>
      <w:r>
        <w:t>yang bersifat nisbi dan merupakan bagian dari fakta sejarah manusia di sepanjang waktu dengan ketauhidan Islam yang bersifat mutlak dan tidak mengalami perubahan sampai kapan pun. Perkawinan ini seakan mencoba menjelaskan bagaimana cara menjalankan syariat Islam ketika doktrin agama yang bersifat normatif dan kering harus diturunkan ke dataran empirik yang dinamis dan menjelma menjadi suatu tradisi, serta menekankan bahwa tradisi awal Islam di masa Rasulullah dan para sahabatnya bukanlah episode sejarah yang pantas di buang jauh-jauh, melainkan mesti diwarisi sesuai dengan tingkat relevansi dan kebutuhan aktual pada masa yang lebih belakangan, tak terkecuali dalam fase sejarah yang sedang dijalani saat ini.</w:t>
      </w:r>
      <w:r w:rsidR="005D7CD1">
        <w:rPr>
          <w:rStyle w:val="FootnoteReference"/>
        </w:rPr>
        <w:footnoteReference w:id="29"/>
      </w:r>
    </w:p>
    <w:p w14:paraId="2C5326C1" w14:textId="77777777" w:rsidR="00F41399" w:rsidRDefault="00F41399" w:rsidP="00F41399">
      <w:pPr>
        <w:pStyle w:val="BodyText"/>
        <w:spacing w:line="480" w:lineRule="auto"/>
        <w:ind w:left="360" w:firstLine="360"/>
        <w:jc w:val="both"/>
      </w:pPr>
      <w:r>
        <w:t>Karena itu, jika membincangkan Ahlussunnah Waljamaah yang sering disebut kaum tradisionalis atau kelompok pembela tradisi keagamaan, maka yang pertama kali layak dikupas adalah upaya penelusuran sejarah keberagamaan, karena tidak bisa dihindari diri dari kenyataan bahwa setiap tradisi yang berbentuk pasti ada faktor kesejarahan yang mengitarinya.</w:t>
      </w:r>
    </w:p>
    <w:p w14:paraId="0D028139" w14:textId="24BD3FB5" w:rsidR="00F41399" w:rsidRDefault="00F41399" w:rsidP="00F41399">
      <w:pPr>
        <w:pStyle w:val="BodyText"/>
        <w:spacing w:line="480" w:lineRule="auto"/>
        <w:ind w:left="360" w:firstLine="360"/>
        <w:jc w:val="both"/>
      </w:pPr>
      <w:r>
        <w:t xml:space="preserve">Bertolak dari pemikiran tersebut, NU menurut Hasyim Muzadi berusaha menyambung kembali tali keilmuan yang mengikat fase-fase sejarah dari generasi ke generasi semenjak zaman Nabi untuk dijadikan bahan-bahan bangunan tradisi keberagamaan sesuai kebutuhan kekinian. Dengan kesadaran semacam ini maka lahirlah kredo </w:t>
      </w:r>
      <w:r>
        <w:rPr>
          <w:i/>
        </w:rPr>
        <w:t>al-mu</w:t>
      </w:r>
      <w:r>
        <w:rPr>
          <w:i/>
          <w:u w:val="single"/>
        </w:rPr>
        <w:t>h</w:t>
      </w:r>
      <w:r>
        <w:rPr>
          <w:i/>
        </w:rPr>
        <w:t>âfazhah ‘ala qadîm al- shâli</w:t>
      </w:r>
      <w:r>
        <w:rPr>
          <w:i/>
          <w:u w:val="single"/>
        </w:rPr>
        <w:t>h</w:t>
      </w:r>
      <w:r>
        <w:rPr>
          <w:i/>
        </w:rPr>
        <w:t xml:space="preserve"> wa al-akhzu bi al-jadîd al-ashlâ</w:t>
      </w:r>
      <w:r>
        <w:rPr>
          <w:i/>
          <w:u w:val="single"/>
        </w:rPr>
        <w:t>h</w:t>
      </w:r>
      <w:r>
        <w:t xml:space="preserve"> (mempertahankan tradisi lama yang masih relevan, </w:t>
      </w:r>
      <w:r>
        <w:lastRenderedPageBreak/>
        <w:t>dan responsif terhadap gagasan baru yang lebih baik dan lebih relevan).</w:t>
      </w:r>
      <w:r w:rsidR="005D7CD1">
        <w:rPr>
          <w:rStyle w:val="FootnoteReference"/>
        </w:rPr>
        <w:footnoteReference w:id="30"/>
      </w:r>
    </w:p>
    <w:p w14:paraId="342429A5" w14:textId="1B67316C" w:rsidR="00F41399" w:rsidRDefault="00F41399" w:rsidP="00F41399">
      <w:pPr>
        <w:pStyle w:val="BodyText"/>
        <w:spacing w:line="480" w:lineRule="auto"/>
        <w:ind w:left="360" w:firstLine="360"/>
        <w:jc w:val="both"/>
      </w:pPr>
      <w:r>
        <w:t>Abuya Muhtadi yang sangat populer di kalangan NU ini ingin menegaskan bahwa setiap khazanah lama “layak” digunakan sebagai referensi untuk menyikapi realitas kehidupan di kemudian hari. Sebaliknya dari sekian banyak tradisi salaf itu selalu ada kemungkinan kebenaran dan kebaikan yang dapat diambil sebagai pedoman. Adapun hal-hal yang baru juga tidak perlu dijauhi, apalagi dimusuhi, selama esensi yang ditawarkannya bermuara pada kemaslahatan. Secara tidak langsung, NU menganggap ada keharusan untuk menjaga semangat yang dibawa oleh khazanah lama dengan ketentuan bahwa fungsi positif di dalamnya memang masih diperlukan demi keseimbangan keberagamaan masyarakat, serta menempelkan warna baru yang diyakini dapat mengantar ke arah kesempurnaan. Selain itu, prinsip ini juga menjadikan NU sangat lentur beradaptasi dengan budaya lokal. Budaya lokal dengan beragam pemikiran yang ada di dalamnya dilibatkan dalam menafsirkan teks ajaran agama.</w:t>
      </w:r>
      <w:r w:rsidR="005D7CD1">
        <w:rPr>
          <w:rStyle w:val="FootnoteReference"/>
        </w:rPr>
        <w:footnoteReference w:id="31"/>
      </w:r>
    </w:p>
    <w:p w14:paraId="6A5E72C9" w14:textId="3F5EDFB0" w:rsidR="00F41399" w:rsidRDefault="00F41399" w:rsidP="00F41399">
      <w:pPr>
        <w:pStyle w:val="BodyText"/>
        <w:spacing w:line="480" w:lineRule="auto"/>
        <w:ind w:left="360" w:firstLine="360"/>
        <w:jc w:val="both"/>
      </w:pPr>
      <w:r>
        <w:t xml:space="preserve">Proses kontekstualisasi ajaran agama ini tentunya tetap dilakukan atas pertimbangan yang </w:t>
      </w:r>
      <w:r>
        <w:rPr>
          <w:i/>
        </w:rPr>
        <w:t>ashlâ</w:t>
      </w:r>
      <w:r>
        <w:rPr>
          <w:i/>
          <w:u w:val="single"/>
        </w:rPr>
        <w:t>h</w:t>
      </w:r>
      <w:r>
        <w:rPr>
          <w:i/>
        </w:rPr>
        <w:t xml:space="preserve"> </w:t>
      </w:r>
      <w:r>
        <w:t xml:space="preserve">(baik) dan yang </w:t>
      </w:r>
      <w:r>
        <w:rPr>
          <w:i/>
        </w:rPr>
        <w:t>aqba</w:t>
      </w:r>
      <w:r>
        <w:rPr>
          <w:i/>
          <w:u w:val="single"/>
        </w:rPr>
        <w:t>h</w:t>
      </w:r>
      <w:r>
        <w:rPr>
          <w:i/>
        </w:rPr>
        <w:t xml:space="preserve"> </w:t>
      </w:r>
      <w:r>
        <w:t xml:space="preserve">(buruk). Terkait dengan hal ini, Hasyim Muzadi menyatakan “seandainya faktor lokal secara keseluruhan ditolak untuk diintegrasi- kan dalam pemikiran agama, atas nama kemurnian ajaran, tentu saja Islam akan ‘kehilangan’ kontekstualitasnya dan tampak sebagai ajaran yang </w:t>
      </w:r>
      <w:r>
        <w:rPr>
          <w:i/>
        </w:rPr>
        <w:t xml:space="preserve">rigid. </w:t>
      </w:r>
      <w:r>
        <w:t xml:space="preserve">Di samping itu, Islam akan dianggap ‘gagal’ dalam mempertemukan </w:t>
      </w:r>
      <w:r>
        <w:rPr>
          <w:i/>
        </w:rPr>
        <w:t xml:space="preserve">nash </w:t>
      </w:r>
      <w:r>
        <w:t xml:space="preserve">dan perkembangan pemikiran. Hal ini mengakibatkan mandegnya kreatifitas berpikir para pemeluknya.” </w:t>
      </w:r>
      <w:r w:rsidR="005D7CD1">
        <w:rPr>
          <w:rStyle w:val="FootnoteReference"/>
        </w:rPr>
        <w:footnoteReference w:id="32"/>
      </w:r>
    </w:p>
    <w:p w14:paraId="44666CAD" w14:textId="77777777" w:rsidR="00F41399" w:rsidRDefault="00F41399" w:rsidP="00F41399">
      <w:pPr>
        <w:pStyle w:val="BodyText"/>
        <w:spacing w:line="480" w:lineRule="auto"/>
        <w:ind w:left="360" w:firstLine="360"/>
        <w:jc w:val="both"/>
      </w:pPr>
      <w:r>
        <w:lastRenderedPageBreak/>
        <w:t xml:space="preserve">Uraian di atas menggambarkan bahwa pada saat ini istilah Ahlussunnah Waljamaah versi NU telah mengalami perkembangan, tidak hanya dipahami sebagai landasan </w:t>
      </w:r>
      <w:r>
        <w:rPr>
          <w:i/>
        </w:rPr>
        <w:t>‘ubûdiyah</w:t>
      </w:r>
      <w:r>
        <w:t>, tetapi juga sebagaimetode (</w:t>
      </w:r>
      <w:r>
        <w:rPr>
          <w:i/>
        </w:rPr>
        <w:t>mahaj</w:t>
      </w:r>
      <w:r>
        <w:t xml:space="preserve">) berpikir. Sebagai sebuah </w:t>
      </w:r>
      <w:r>
        <w:rPr>
          <w:i/>
        </w:rPr>
        <w:t xml:space="preserve">manhaj, </w:t>
      </w:r>
      <w:r>
        <w:t>paham Ahlussunnah Waljamaah menjadi lebih rasional dan dinamis dalam menyikapi perkembangan masyarakat, dan menjadikan NU lebih luwes berhadapan dengan tantangan keumatan dan keindonesiaan.</w:t>
      </w:r>
    </w:p>
    <w:p w14:paraId="2863F2A7" w14:textId="77777777" w:rsidR="00F41399" w:rsidRDefault="00F41399" w:rsidP="00F41399">
      <w:pPr>
        <w:pStyle w:val="BodyText"/>
        <w:numPr>
          <w:ilvl w:val="0"/>
          <w:numId w:val="10"/>
        </w:numPr>
        <w:spacing w:line="480" w:lineRule="auto"/>
        <w:jc w:val="both"/>
      </w:pPr>
      <w:r>
        <w:t>Falsafah Pendidikan NU</w:t>
      </w:r>
    </w:p>
    <w:p w14:paraId="1D60C74A" w14:textId="4CD3522E" w:rsidR="00C214CC" w:rsidRDefault="00F41399" w:rsidP="00F41399">
      <w:pPr>
        <w:pStyle w:val="BodyText"/>
        <w:spacing w:line="480" w:lineRule="auto"/>
        <w:ind w:left="360" w:firstLine="360"/>
        <w:jc w:val="both"/>
      </w:pPr>
      <w:r>
        <w:t>Landasan adalah dasar tempat berpijak sehingga sesuatu itu dapat berdiri dengan kokoh. Suatu bangunan harus memiliki pondasi yang kuat sebagai landasan supaya dapat berdiri dengan kokoh. Landasan berfungsi sebagai asal dan sumber tempat merujuk sekaligus juga mengandung arah dan tujuan yang akan dicapai. Pendidikan sebagai proses timbal balik antara pendidik dan peserta didik dengan melibatkan berbagai faktor pendidikan lainnya, diselenggarakan untuk menggapai tujuan pendidikan tentu mempunyai landasan yang berasal dari nilai-nilai tertentu sebagai cerminan filsafat pendidikan tersebut.</w:t>
      </w:r>
      <w:r w:rsidR="00C214CC">
        <w:t xml:space="preserve"> </w:t>
      </w:r>
      <w:r w:rsidR="005D7CD1">
        <w:rPr>
          <w:rStyle w:val="FootnoteReference"/>
        </w:rPr>
        <w:footnoteReference w:id="33"/>
      </w:r>
    </w:p>
    <w:p w14:paraId="24CA1476" w14:textId="0B684FD1" w:rsidR="00C214CC" w:rsidRDefault="00F41399" w:rsidP="00C214CC">
      <w:pPr>
        <w:pStyle w:val="BodyText"/>
        <w:spacing w:line="480" w:lineRule="auto"/>
        <w:ind w:left="360" w:firstLine="360"/>
        <w:jc w:val="both"/>
      </w:pPr>
      <w:r>
        <w:t>Ontologi adalah teori tentang ‘ada’, yaitu tentang apa yang dipikirkan, yang menjadi obyek filsafat. Menurut Jujun S. Suriasumantri, ontologi terkait tentang hakikat apa yang</w:t>
      </w:r>
      <w:r w:rsidR="00C214CC">
        <w:t xml:space="preserve"> dikaji, atau jawaban dari “apakah hakikat kenyataan ini sebenar-benarnya?” Kajian ontologi mengacu kepada realita. Menurut Imam Barnadib, sebagaimana dikutip oleh Jalaluddin, realita ialah kenyataan, yang seterusnya mengarah kepada masalah kebenaran. Kebenaran akan muncul jika orang telah mampu menarik konklusi bahwa ilmu yang diraih telah nyata.</w:t>
      </w:r>
      <w:r w:rsidR="005D7CD1">
        <w:rPr>
          <w:rStyle w:val="FootnoteReference"/>
        </w:rPr>
        <w:footnoteReference w:id="34"/>
      </w:r>
    </w:p>
    <w:p w14:paraId="777FBDA4" w14:textId="578DB7CF" w:rsidR="00C214CC" w:rsidRDefault="00C214CC" w:rsidP="00C214CC">
      <w:pPr>
        <w:pStyle w:val="BodyText"/>
        <w:spacing w:line="480" w:lineRule="auto"/>
        <w:ind w:left="360" w:firstLine="360"/>
        <w:jc w:val="both"/>
      </w:pPr>
      <w:r>
        <w:t xml:space="preserve">Dengan demikian landasan ontologi di sini dimaknai sebagai apa yang menjadi dasar </w:t>
      </w:r>
      <w:r>
        <w:lastRenderedPageBreak/>
        <w:t xml:space="preserve">berpijak bagi konsep pendidikan dalam organisasi NU. Landasan itu diadopsi menjadi nilai-nilai yang mengkonstruk sistem pendidikan NU, baik dalam tataran konsep maupun aplikatif. Merujuk pada uraian sebelumnya dapat dilihat landasan yang menjadi dasar pendidikan NU. Pijakannya berasal dari prinsip dasar (Qanun Asasi) NU yang intinya tertuang dalam konsep Ahlussunnah Waljamaah yang dipahami bukan hanya sebagai ketentuan bermazhab, tetapi lebih pada sebuah </w:t>
      </w:r>
      <w:r>
        <w:rPr>
          <w:i/>
        </w:rPr>
        <w:t xml:space="preserve">manhaj </w:t>
      </w:r>
      <w:r>
        <w:t>yang bersifat dinamis.</w:t>
      </w:r>
      <w:r w:rsidR="005D7CD1">
        <w:rPr>
          <w:rStyle w:val="FootnoteReference"/>
        </w:rPr>
        <w:footnoteReference w:id="35"/>
      </w:r>
    </w:p>
    <w:p w14:paraId="7A9B476B" w14:textId="34073392" w:rsidR="00C214CC" w:rsidRDefault="00C214CC" w:rsidP="00C214CC">
      <w:pPr>
        <w:pStyle w:val="BodyText"/>
        <w:spacing w:line="480" w:lineRule="auto"/>
        <w:ind w:left="360" w:firstLine="360"/>
        <w:jc w:val="both"/>
      </w:pPr>
      <w:r>
        <w:t xml:space="preserve">Karakter pemahaman dinamis terhadap konsep Ahlussunnah Waljamaah tersebut diartikan sebagai perlunya pembaharuan terus-menerus yang harus berlangsung dengan prinsip </w:t>
      </w:r>
      <w:r>
        <w:rPr>
          <w:i/>
        </w:rPr>
        <w:t xml:space="preserve">tawâzun </w:t>
      </w:r>
      <w:r>
        <w:t>(moderat)</w:t>
      </w:r>
      <w:r>
        <w:rPr>
          <w:i/>
        </w:rPr>
        <w:t xml:space="preserve">, ta‘âdul </w:t>
      </w:r>
      <w:r>
        <w:t xml:space="preserve">(keseimbangan) dan </w:t>
      </w:r>
      <w:r>
        <w:rPr>
          <w:i/>
        </w:rPr>
        <w:t xml:space="preserve">tasâmuh </w:t>
      </w:r>
      <w:r>
        <w:t>(toleransi)</w:t>
      </w:r>
      <w:r>
        <w:rPr>
          <w:i/>
        </w:rPr>
        <w:t>.</w:t>
      </w:r>
      <w:r w:rsidR="005D7CD1">
        <w:rPr>
          <w:rStyle w:val="FootnoteReference"/>
          <w:i/>
        </w:rPr>
        <w:footnoteReference w:id="36"/>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F41399" w14:paraId="3E277210" w14:textId="77777777" w:rsidTr="00F41399">
        <w:trPr>
          <w:tblCellSpacing w:w="0" w:type="dxa"/>
        </w:trPr>
        <w:tc>
          <w:tcPr>
            <w:tcW w:w="0" w:type="auto"/>
            <w:vAlign w:val="center"/>
            <w:hideMark/>
          </w:tcPr>
          <w:p w14:paraId="320FC40A" w14:textId="77777777" w:rsidR="00F41399" w:rsidRDefault="00F41399" w:rsidP="00C214CC">
            <w:pPr>
              <w:spacing w:after="160" w:line="259" w:lineRule="auto"/>
              <w:rPr>
                <w:sz w:val="20"/>
                <w:szCs w:val="20"/>
              </w:rPr>
            </w:pPr>
          </w:p>
        </w:tc>
        <w:tc>
          <w:tcPr>
            <w:tcW w:w="0" w:type="auto"/>
            <w:vAlign w:val="center"/>
            <w:hideMark/>
          </w:tcPr>
          <w:p w14:paraId="21E08A54" w14:textId="77777777" w:rsidR="00F41399" w:rsidRDefault="00F41399"/>
        </w:tc>
      </w:tr>
    </w:tbl>
    <w:p w14:paraId="0A4F9679" w14:textId="77777777" w:rsidR="006A1C76" w:rsidRPr="00E15EC4" w:rsidRDefault="001E4CAC" w:rsidP="001E4CAC">
      <w:pPr>
        <w:pStyle w:val="Heading1"/>
        <w:numPr>
          <w:ilvl w:val="0"/>
          <w:numId w:val="8"/>
        </w:numPr>
        <w:spacing w:before="0" w:after="0" w:line="276" w:lineRule="auto"/>
        <w:ind w:left="426"/>
        <w:rPr>
          <w:rFonts w:ascii="Times New Roman" w:hAnsi="Times New Roman"/>
          <w:b w:val="0"/>
          <w:szCs w:val="24"/>
        </w:rPr>
      </w:pPr>
      <w:r>
        <w:rPr>
          <w:rStyle w:val="Strong"/>
          <w:rFonts w:ascii="Times New Roman" w:hAnsi="Times New Roman"/>
          <w:b/>
          <w:szCs w:val="24"/>
        </w:rPr>
        <w:t>KE</w:t>
      </w:r>
      <w:r w:rsidR="006A1C76" w:rsidRPr="00E15EC4">
        <w:rPr>
          <w:rStyle w:val="Strong"/>
          <w:rFonts w:ascii="Times New Roman" w:hAnsi="Times New Roman"/>
          <w:b/>
          <w:szCs w:val="24"/>
        </w:rPr>
        <w:t>SIMPULAN</w:t>
      </w:r>
    </w:p>
    <w:p w14:paraId="2A4C5E73" w14:textId="77777777" w:rsidR="00C214CC" w:rsidRDefault="00C214CC" w:rsidP="00C214CC">
      <w:pPr>
        <w:pStyle w:val="BodyText"/>
        <w:spacing w:line="480" w:lineRule="auto"/>
        <w:ind w:firstLine="426"/>
        <w:jc w:val="both"/>
        <w:sectPr w:rsidR="00C214CC">
          <w:pgSz w:w="12240" w:h="15840"/>
          <w:pgMar w:top="1440" w:right="1440" w:bottom="1440" w:left="1440" w:header="720" w:footer="720" w:gutter="0"/>
          <w:cols w:space="720"/>
        </w:sectPr>
      </w:pPr>
      <w:r>
        <w:t xml:space="preserve">Kajian di atas menghasilkan dua kesimpulan penting. Pertama, pendidikan yang dikembangkan   oleh   organisasi   NU   mengupayakan   terciptanya pelaksanaan pendidikan dan pengajaran, dan pengembangan kultural yang relevan dengan prinsip-prinsip Islam demi mengantarkan umat agar dapat menjadi sosok Muslim yang bertakwa, berbudi luhur, berpengetahuan luas dan terampil, serta berguna bagi agama, bangsadan negara. Prinsip yang menjadi landasan pendidikan NU adalah Ahlussunnah Waljamaah yang dipahami tidak hanya sebagai pedoman bermazhab, tetapi juga sebagai sebuah </w:t>
      </w:r>
      <w:r>
        <w:rPr>
          <w:i/>
        </w:rPr>
        <w:t xml:space="preserve">manhaj </w:t>
      </w:r>
      <w:r>
        <w:t xml:space="preserve">(metode) berpikir yang bersifat dinamis. Prinsip lain adalah </w:t>
      </w:r>
      <w:r>
        <w:rPr>
          <w:i/>
        </w:rPr>
        <w:t>al- mu</w:t>
      </w:r>
      <w:r>
        <w:rPr>
          <w:i/>
          <w:u w:val="single"/>
        </w:rPr>
        <w:t>h</w:t>
      </w:r>
      <w:r>
        <w:rPr>
          <w:i/>
        </w:rPr>
        <w:t>âfazah bi  al-qadîm al-shâli</w:t>
      </w:r>
      <w:r>
        <w:rPr>
          <w:i/>
          <w:u w:val="single"/>
        </w:rPr>
        <w:t>h</w:t>
      </w:r>
      <w:r>
        <w:rPr>
          <w:i/>
        </w:rPr>
        <w:t xml:space="preserve"> wa al-akhzu bi al-jadîdal-ashlah </w:t>
      </w:r>
      <w:r>
        <w:t xml:space="preserve">yang mempertegas </w:t>
      </w:r>
      <w:r>
        <w:rPr>
          <w:i/>
        </w:rPr>
        <w:t xml:space="preserve">manhaj </w:t>
      </w:r>
      <w:r>
        <w:t xml:space="preserve">Aswajasekaligus menekankan </w:t>
      </w:r>
      <w:r>
        <w:rPr>
          <w:i/>
        </w:rPr>
        <w:t xml:space="preserve">mainstream </w:t>
      </w:r>
      <w:r>
        <w:t xml:space="preserve">warga NU dalam merespons tradisi dan modernitas, termasuk bidang pendidikan. Pendidikan NU dikemas di atas prinsip- prinsip </w:t>
      </w:r>
      <w:r>
        <w:rPr>
          <w:i/>
        </w:rPr>
        <w:t xml:space="preserve">tawâzun </w:t>
      </w:r>
      <w:r>
        <w:t>(moderat)</w:t>
      </w:r>
      <w:r>
        <w:rPr>
          <w:i/>
        </w:rPr>
        <w:t xml:space="preserve">, ta‘âdul </w:t>
      </w:r>
      <w:r>
        <w:t xml:space="preserve">(seimbang) dan </w:t>
      </w:r>
      <w:r>
        <w:rPr>
          <w:i/>
        </w:rPr>
        <w:t xml:space="preserve">tasâmuh </w:t>
      </w:r>
      <w:r>
        <w:t>(toleran).</w:t>
      </w:r>
    </w:p>
    <w:p w14:paraId="4ED027FC" w14:textId="160BD85D" w:rsidR="00293244" w:rsidRDefault="001A4A51" w:rsidP="00745637">
      <w:pPr>
        <w:pStyle w:val="Heading1"/>
        <w:numPr>
          <w:ilvl w:val="0"/>
          <w:numId w:val="0"/>
        </w:numPr>
        <w:spacing w:before="0" w:after="0" w:line="276" w:lineRule="auto"/>
        <w:rPr>
          <w:rFonts w:ascii="Times New Roman" w:hAnsi="Times New Roman"/>
          <w:szCs w:val="24"/>
        </w:rPr>
      </w:pPr>
      <w:r w:rsidRPr="00E15EC4">
        <w:rPr>
          <w:rFonts w:ascii="Times New Roman" w:hAnsi="Times New Roman"/>
          <w:szCs w:val="24"/>
        </w:rPr>
        <w:lastRenderedPageBreak/>
        <w:t>DAFTAR PUSTAKA</w:t>
      </w:r>
    </w:p>
    <w:p w14:paraId="5F783749" w14:textId="77777777" w:rsidR="005D7CD1" w:rsidRPr="005D7CD1" w:rsidRDefault="005D7CD1" w:rsidP="005D7CD1"/>
    <w:p w14:paraId="6212F21A" w14:textId="6B042447" w:rsidR="005D7CD1" w:rsidRPr="005D7CD1" w:rsidRDefault="005D7CD1" w:rsidP="005D7CD1">
      <w:pPr>
        <w:widowControl w:val="0"/>
        <w:autoSpaceDE w:val="0"/>
        <w:autoSpaceDN w:val="0"/>
        <w:adjustRightInd w:val="0"/>
        <w:spacing w:line="360" w:lineRule="auto"/>
        <w:ind w:left="480" w:hanging="480"/>
        <w:rPr>
          <w:noProof/>
        </w:rPr>
      </w:pPr>
      <w:r>
        <w:rPr>
          <w:lang w:val="id-ID"/>
        </w:rPr>
        <w:fldChar w:fldCharType="begin" w:fldLock="1"/>
      </w:r>
      <w:r>
        <w:rPr>
          <w:lang w:val="id-ID"/>
        </w:rPr>
        <w:instrText xml:space="preserve">ADDIN Mendeley Bibliography CSL_BIBLIOGRAPHY </w:instrText>
      </w:r>
      <w:r>
        <w:rPr>
          <w:lang w:val="id-ID"/>
        </w:rPr>
        <w:fldChar w:fldCharType="separate"/>
      </w:r>
      <w:r w:rsidRPr="005D7CD1">
        <w:rPr>
          <w:noProof/>
        </w:rPr>
        <w:t xml:space="preserve">A. Prihantoro, Hijrian. “Islam Nusantara Dan Filsafat Orientasi Bangsa; Dialektika Modernitas Beragama Dalam Negara Berbudaya.” </w:t>
      </w:r>
      <w:r w:rsidRPr="005D7CD1">
        <w:rPr>
          <w:i/>
          <w:iCs/>
          <w:noProof/>
        </w:rPr>
        <w:t>Millah</w:t>
      </w:r>
      <w:r w:rsidRPr="005D7CD1">
        <w:rPr>
          <w:noProof/>
        </w:rPr>
        <w:t xml:space="preserve"> 16, no. 2 (2017): 203–234.</w:t>
      </w:r>
    </w:p>
    <w:p w14:paraId="0BDEB953" w14:textId="77777777" w:rsidR="005D7CD1" w:rsidRPr="005D7CD1" w:rsidRDefault="005D7CD1" w:rsidP="005D7CD1">
      <w:pPr>
        <w:widowControl w:val="0"/>
        <w:autoSpaceDE w:val="0"/>
        <w:autoSpaceDN w:val="0"/>
        <w:adjustRightInd w:val="0"/>
        <w:spacing w:line="360" w:lineRule="auto"/>
        <w:ind w:left="480" w:hanging="480"/>
        <w:rPr>
          <w:noProof/>
        </w:rPr>
      </w:pPr>
      <w:r w:rsidRPr="005D7CD1">
        <w:rPr>
          <w:noProof/>
        </w:rPr>
        <w:t xml:space="preserve">Adib, Muhammad. “Usul Fikih Nu: Elemen Metodologis Mazhab Fikih Nu.” </w:t>
      </w:r>
      <w:r w:rsidRPr="005D7CD1">
        <w:rPr>
          <w:i/>
          <w:iCs/>
          <w:noProof/>
        </w:rPr>
        <w:t>MAQASHID Jurnal Hukum Islam</w:t>
      </w:r>
      <w:r w:rsidRPr="005D7CD1">
        <w:rPr>
          <w:noProof/>
        </w:rPr>
        <w:t xml:space="preserve"> 2, no. 2 (2019): 42–57.</w:t>
      </w:r>
    </w:p>
    <w:p w14:paraId="7A784B83" w14:textId="77777777" w:rsidR="005D7CD1" w:rsidRPr="005D7CD1" w:rsidRDefault="005D7CD1" w:rsidP="005D7CD1">
      <w:pPr>
        <w:widowControl w:val="0"/>
        <w:autoSpaceDE w:val="0"/>
        <w:autoSpaceDN w:val="0"/>
        <w:adjustRightInd w:val="0"/>
        <w:spacing w:line="360" w:lineRule="auto"/>
        <w:ind w:left="480" w:hanging="480"/>
        <w:rPr>
          <w:noProof/>
        </w:rPr>
      </w:pPr>
      <w:r w:rsidRPr="005D7CD1">
        <w:rPr>
          <w:noProof/>
        </w:rPr>
        <w:t>Dari, Ditinjau, Filsafat Bahasa, Ludwig Wittgeinstein Ii, Prodi Aqidah, D A N Filsafat, Fakultas Ushuluddin, D A N Pemikiran, Universitas Islam, and Negri Sunan. “Yogyakarta 2020” (2020).</w:t>
      </w:r>
    </w:p>
    <w:p w14:paraId="73F5E0CA" w14:textId="77777777" w:rsidR="005D7CD1" w:rsidRPr="005D7CD1" w:rsidRDefault="005D7CD1" w:rsidP="005D7CD1">
      <w:pPr>
        <w:widowControl w:val="0"/>
        <w:autoSpaceDE w:val="0"/>
        <w:autoSpaceDN w:val="0"/>
        <w:adjustRightInd w:val="0"/>
        <w:spacing w:line="360" w:lineRule="auto"/>
        <w:ind w:left="480" w:hanging="480"/>
        <w:rPr>
          <w:noProof/>
        </w:rPr>
      </w:pPr>
      <w:r w:rsidRPr="005D7CD1">
        <w:rPr>
          <w:noProof/>
        </w:rPr>
        <w:t xml:space="preserve">Haidar, M. Ali. “NAHDATUL ULAMA DAN ISLAM DI INDONESIA Pendekatan Fikih Dalam Politik.” </w:t>
      </w:r>
      <w:r w:rsidRPr="005D7CD1">
        <w:rPr>
          <w:i/>
          <w:iCs/>
          <w:noProof/>
        </w:rPr>
        <w:t>Ebp.Aaykpn.Ac.Id</w:t>
      </w:r>
      <w:r w:rsidRPr="005D7CD1">
        <w:rPr>
          <w:noProof/>
        </w:rPr>
        <w:t xml:space="preserve"> (1994): 1–357. http://www.ebp.aaykpn.ac.id/kitab/kitab2_ke_nu_an/NU dan Islam di Indonesia.pdf.</w:t>
      </w:r>
    </w:p>
    <w:p w14:paraId="3ABD9D7E" w14:textId="77777777" w:rsidR="005D7CD1" w:rsidRPr="005D7CD1" w:rsidRDefault="005D7CD1" w:rsidP="005D7CD1">
      <w:pPr>
        <w:widowControl w:val="0"/>
        <w:autoSpaceDE w:val="0"/>
        <w:autoSpaceDN w:val="0"/>
        <w:adjustRightInd w:val="0"/>
        <w:spacing w:line="360" w:lineRule="auto"/>
        <w:ind w:left="480" w:hanging="480"/>
        <w:rPr>
          <w:noProof/>
        </w:rPr>
      </w:pPr>
      <w:r w:rsidRPr="005D7CD1">
        <w:rPr>
          <w:noProof/>
        </w:rPr>
        <w:t>Hidayatullah, Syarif. “Tinjauan Filosofis Terhadap Tradisi Nu: Sebuah Upaya Eksplorasi Filsafat Nusantara” (2014).</w:t>
      </w:r>
    </w:p>
    <w:p w14:paraId="174FCB35" w14:textId="77777777" w:rsidR="005D7CD1" w:rsidRPr="005D7CD1" w:rsidRDefault="005D7CD1" w:rsidP="005D7CD1">
      <w:pPr>
        <w:widowControl w:val="0"/>
        <w:autoSpaceDE w:val="0"/>
        <w:autoSpaceDN w:val="0"/>
        <w:adjustRightInd w:val="0"/>
        <w:spacing w:line="360" w:lineRule="auto"/>
        <w:ind w:left="480" w:hanging="480"/>
        <w:rPr>
          <w:noProof/>
        </w:rPr>
      </w:pPr>
      <w:r w:rsidRPr="005D7CD1">
        <w:rPr>
          <w:noProof/>
        </w:rPr>
        <w:t xml:space="preserve">———. </w:t>
      </w:r>
      <w:r w:rsidRPr="005D7CD1">
        <w:rPr>
          <w:i/>
          <w:iCs/>
          <w:noProof/>
        </w:rPr>
        <w:t>TINJAUAN FILOSOFIS TERHADAP TRADISI NU: SEBUAH UPAYA EKSPLORASI FILSAFAT NUSANTARA</w:t>
      </w:r>
      <w:r w:rsidRPr="005D7CD1">
        <w:rPr>
          <w:noProof/>
        </w:rPr>
        <w:t>, n.d.</w:t>
      </w:r>
    </w:p>
    <w:p w14:paraId="6B338153" w14:textId="77777777" w:rsidR="005D7CD1" w:rsidRPr="005D7CD1" w:rsidRDefault="005D7CD1" w:rsidP="005D7CD1">
      <w:pPr>
        <w:widowControl w:val="0"/>
        <w:autoSpaceDE w:val="0"/>
        <w:autoSpaceDN w:val="0"/>
        <w:adjustRightInd w:val="0"/>
        <w:spacing w:line="360" w:lineRule="auto"/>
        <w:ind w:left="480" w:hanging="480"/>
        <w:rPr>
          <w:noProof/>
        </w:rPr>
      </w:pPr>
      <w:r w:rsidRPr="005D7CD1">
        <w:rPr>
          <w:noProof/>
        </w:rPr>
        <w:t xml:space="preserve">Isa Anshori. “Perbedaan Metode Ijtihad Nahdlatul Ulama Dan Muhammadiyah Dalam Corak Fikih Di Indonesia.” </w:t>
      </w:r>
      <w:r w:rsidRPr="005D7CD1">
        <w:rPr>
          <w:i/>
          <w:iCs/>
          <w:noProof/>
        </w:rPr>
        <w:t>Nizam</w:t>
      </w:r>
      <w:r w:rsidRPr="005D7CD1">
        <w:rPr>
          <w:noProof/>
        </w:rPr>
        <w:t xml:space="preserve"> 4, no. 1 (2014): 125–139. https://www.neliti.com/publications/154605/perbedaan-metode-ijtihad-nahdlatul-ulama-dan-muhammadiyah-dalam-corak-fikih-di-i.</w:t>
      </w:r>
    </w:p>
    <w:p w14:paraId="31F53B86" w14:textId="77777777" w:rsidR="005D7CD1" w:rsidRPr="005D7CD1" w:rsidRDefault="005D7CD1" w:rsidP="005D7CD1">
      <w:pPr>
        <w:widowControl w:val="0"/>
        <w:autoSpaceDE w:val="0"/>
        <w:autoSpaceDN w:val="0"/>
        <w:adjustRightInd w:val="0"/>
        <w:spacing w:line="360" w:lineRule="auto"/>
        <w:ind w:left="480" w:hanging="480"/>
        <w:rPr>
          <w:noProof/>
        </w:rPr>
      </w:pPr>
      <w:r w:rsidRPr="005D7CD1">
        <w:rPr>
          <w:noProof/>
        </w:rPr>
        <w:t xml:space="preserve">Jayanto, Dian Dwi. “Mempertimbangkan Fenomena Populisme Islam Di Indonesia Dalam Perspektif Pertarungan Diskursif: Kontestasi Wacana Politik Antara Gerakan Nasional Pengawal Fatwa Ulama (GNPF-Ulama) Dan Nahdlatul Ulama (NU).” </w:t>
      </w:r>
      <w:r w:rsidRPr="005D7CD1">
        <w:rPr>
          <w:i/>
          <w:iCs/>
          <w:noProof/>
        </w:rPr>
        <w:t>Mempertimbangkan Fenomena Populisme Islam di Indonesia dalam Perspektif Pertarungan Diskursif: Kontestasi Wacana Politik Antara Gerakan Nasional Pengawal Fatwa Ulama (GNPF-Ulama) dan Nahdlatul Ulama (NU)</w:t>
      </w:r>
      <w:r w:rsidRPr="005D7CD1">
        <w:rPr>
          <w:noProof/>
        </w:rPr>
        <w:t xml:space="preserve"> 29, no. 1 (2019): 1–25.</w:t>
      </w:r>
    </w:p>
    <w:p w14:paraId="27F94C96" w14:textId="77777777" w:rsidR="005D7CD1" w:rsidRPr="005D7CD1" w:rsidRDefault="005D7CD1" w:rsidP="005D7CD1">
      <w:pPr>
        <w:widowControl w:val="0"/>
        <w:autoSpaceDE w:val="0"/>
        <w:autoSpaceDN w:val="0"/>
        <w:adjustRightInd w:val="0"/>
        <w:spacing w:line="360" w:lineRule="auto"/>
        <w:ind w:left="480" w:hanging="480"/>
        <w:rPr>
          <w:noProof/>
        </w:rPr>
      </w:pPr>
      <w:r w:rsidRPr="005D7CD1">
        <w:rPr>
          <w:noProof/>
        </w:rPr>
        <w:t xml:space="preserve">Luthfi, Khabibi Muhammad. “Islam Nusantara: Relasi Islam Dan Budaya Lokal.” </w:t>
      </w:r>
      <w:r w:rsidRPr="005D7CD1">
        <w:rPr>
          <w:i/>
          <w:iCs/>
          <w:noProof/>
        </w:rPr>
        <w:t>SHAHIH: Journal of Islamicate Multidisciplinary</w:t>
      </w:r>
      <w:r w:rsidRPr="005D7CD1">
        <w:rPr>
          <w:noProof/>
        </w:rPr>
        <w:t xml:space="preserve"> 1, no. 1 (2016): 1–12.</w:t>
      </w:r>
    </w:p>
    <w:p w14:paraId="21FBE638" w14:textId="77777777" w:rsidR="005D7CD1" w:rsidRPr="005D7CD1" w:rsidRDefault="005D7CD1" w:rsidP="005D7CD1">
      <w:pPr>
        <w:widowControl w:val="0"/>
        <w:autoSpaceDE w:val="0"/>
        <w:autoSpaceDN w:val="0"/>
        <w:adjustRightInd w:val="0"/>
        <w:spacing w:line="360" w:lineRule="auto"/>
        <w:ind w:left="480" w:hanging="480"/>
        <w:rPr>
          <w:noProof/>
        </w:rPr>
      </w:pPr>
      <w:r w:rsidRPr="005D7CD1">
        <w:rPr>
          <w:noProof/>
        </w:rPr>
        <w:lastRenderedPageBreak/>
        <w:t xml:space="preserve">PBNU, Tim. “Benturan NU - PKI 1948-1965.” </w:t>
      </w:r>
      <w:r w:rsidRPr="005D7CD1">
        <w:rPr>
          <w:i/>
          <w:iCs/>
          <w:noProof/>
        </w:rPr>
        <w:t>Benturan NU - PKI 1948-1965</w:t>
      </w:r>
      <w:r w:rsidRPr="005D7CD1">
        <w:rPr>
          <w:noProof/>
        </w:rPr>
        <w:t xml:space="preserve"> (2013): 176.</w:t>
      </w:r>
    </w:p>
    <w:p w14:paraId="57BBB002" w14:textId="77777777" w:rsidR="005D7CD1" w:rsidRPr="005D7CD1" w:rsidRDefault="005D7CD1" w:rsidP="005D7CD1">
      <w:pPr>
        <w:widowControl w:val="0"/>
        <w:autoSpaceDE w:val="0"/>
        <w:autoSpaceDN w:val="0"/>
        <w:adjustRightInd w:val="0"/>
        <w:spacing w:line="360" w:lineRule="auto"/>
        <w:ind w:left="480" w:hanging="480"/>
        <w:rPr>
          <w:noProof/>
        </w:rPr>
      </w:pPr>
      <w:r w:rsidRPr="005D7CD1">
        <w:rPr>
          <w:noProof/>
        </w:rPr>
        <w:t xml:space="preserve">Salamuddin, Salamuddin. “MENEGUHKAN ISLAM NUSANTARA: Nahdlatul Ulama Dan Falsafah Pendidikan Pesantren Musthafawiyah.” </w:t>
      </w:r>
      <w:r w:rsidRPr="005D7CD1">
        <w:rPr>
          <w:i/>
          <w:iCs/>
          <w:noProof/>
        </w:rPr>
        <w:t>Journal of Contemporary Islam and Muslim Societies</w:t>
      </w:r>
      <w:r w:rsidRPr="005D7CD1">
        <w:rPr>
          <w:noProof/>
        </w:rPr>
        <w:t xml:space="preserve"> 3, no. 1 (March 14, 2019): 36.</w:t>
      </w:r>
    </w:p>
    <w:p w14:paraId="229ACFF5" w14:textId="28AC09E3" w:rsidR="003D0A1D" w:rsidRPr="00E15EC4" w:rsidRDefault="005D7CD1" w:rsidP="005D7CD1">
      <w:pPr>
        <w:spacing w:line="360" w:lineRule="auto"/>
        <w:jc w:val="both"/>
        <w:rPr>
          <w:lang w:val="id-ID"/>
        </w:rPr>
      </w:pPr>
      <w:r>
        <w:rPr>
          <w:lang w:val="id-ID"/>
        </w:rPr>
        <w:fldChar w:fldCharType="end"/>
      </w:r>
    </w:p>
    <w:sectPr w:rsidR="003D0A1D" w:rsidRPr="00E15EC4" w:rsidSect="003E2345">
      <w:headerReference w:type="default" r:id="rId13"/>
      <w:footerReference w:type="default" r:id="rId14"/>
      <w:headerReference w:type="first" r:id="rId15"/>
      <w:footerReference w:type="first" r:id="rId16"/>
      <w:pgSz w:w="11907" w:h="16839" w:code="9"/>
      <w:pgMar w:top="1701" w:right="1701" w:bottom="1701" w:left="1701" w:header="51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F6EEE" w14:textId="77777777" w:rsidR="004B0500" w:rsidRDefault="004B0500" w:rsidP="00293244">
      <w:r>
        <w:separator/>
      </w:r>
    </w:p>
  </w:endnote>
  <w:endnote w:type="continuationSeparator" w:id="0">
    <w:p w14:paraId="238257B8" w14:textId="77777777" w:rsidR="004B0500" w:rsidRDefault="004B0500" w:rsidP="0029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rPr>
      <w:id w:val="-1368753768"/>
      <w:docPartObj>
        <w:docPartGallery w:val="Page Numbers (Bottom of Page)"/>
        <w:docPartUnique/>
      </w:docPartObj>
    </w:sdtPr>
    <w:sdtEndPr>
      <w:rPr>
        <w:rFonts w:ascii="High Tower Text" w:hAnsi="High Tower Text"/>
      </w:rPr>
    </w:sdtEndPr>
    <w:sdtContent>
      <w:p w14:paraId="54FC586F" w14:textId="0363C18A" w:rsidR="003D0A1D" w:rsidRPr="005031C8" w:rsidRDefault="005031C8" w:rsidP="00CF29F6">
        <w:pPr>
          <w:pStyle w:val="Footer"/>
          <w:jc w:val="right"/>
          <w:rPr>
            <w:rFonts w:ascii="High Tower Text" w:hAnsi="High Tower Text"/>
          </w:rPr>
        </w:pPr>
        <w:r w:rsidRPr="009F2249">
          <w:rPr>
            <w:rFonts w:ascii="High Tower Text" w:hAnsi="High Tower Text"/>
            <w:sz w:val="20"/>
          </w:rPr>
          <w:t>Nama Penulis</w:t>
        </w:r>
        <w:r w:rsidRPr="009F2249">
          <w:rPr>
            <w:rFonts w:ascii="High Tower Text" w:hAnsi="High Tower Text"/>
            <w:sz w:val="20"/>
            <w:vertAlign w:val="superscript"/>
          </w:rPr>
          <w:t xml:space="preserve">1, </w:t>
        </w:r>
        <w:r w:rsidRPr="009F2249">
          <w:rPr>
            <w:rFonts w:ascii="High Tower Text" w:hAnsi="High Tower Text"/>
            <w:sz w:val="20"/>
          </w:rPr>
          <w:t>Nama Penulis</w:t>
        </w:r>
        <w:r w:rsidRPr="009F2249">
          <w:rPr>
            <w:rFonts w:ascii="High Tower Text" w:hAnsi="High Tower Text"/>
            <w:sz w:val="20"/>
            <w:vertAlign w:val="superscript"/>
          </w:rPr>
          <w:t>2</w:t>
        </w:r>
        <w:r w:rsidR="00CF29F6" w:rsidRPr="009F2249">
          <w:rPr>
            <w:rFonts w:ascii="High Tower Text" w:hAnsi="High Tower Text"/>
            <w:sz w:val="20"/>
          </w:rPr>
          <w:t xml:space="preserve"> </w:t>
        </w:r>
        <w:r w:rsidR="00CF29F6" w:rsidRPr="005031C8">
          <w:rPr>
            <w:rFonts w:ascii="High Tower Text" w:hAnsi="High Tower Text"/>
          </w:rPr>
          <w:t xml:space="preserve">| </w:t>
        </w:r>
        <w:r w:rsidR="00CF29F6" w:rsidRPr="00256424">
          <w:rPr>
            <w:rFonts w:ascii="High Tower Text" w:hAnsi="High Tower Text"/>
            <w:b/>
          </w:rPr>
          <w:fldChar w:fldCharType="begin"/>
        </w:r>
        <w:r w:rsidR="00CF29F6" w:rsidRPr="00256424">
          <w:rPr>
            <w:rFonts w:ascii="High Tower Text" w:hAnsi="High Tower Text"/>
            <w:b/>
          </w:rPr>
          <w:instrText xml:space="preserve"> PAGE   \* MERGEFORMAT </w:instrText>
        </w:r>
        <w:r w:rsidR="00CF29F6" w:rsidRPr="00256424">
          <w:rPr>
            <w:rFonts w:ascii="High Tower Text" w:hAnsi="High Tower Text"/>
            <w:b/>
          </w:rPr>
          <w:fldChar w:fldCharType="separate"/>
        </w:r>
        <w:r w:rsidR="00411AFE">
          <w:rPr>
            <w:rFonts w:ascii="High Tower Text" w:hAnsi="High Tower Text"/>
            <w:b/>
            <w:noProof/>
          </w:rPr>
          <w:t>19</w:t>
        </w:r>
        <w:r w:rsidR="00CF29F6" w:rsidRPr="00256424">
          <w:rPr>
            <w:rFonts w:ascii="High Tower Text" w:hAnsi="High Tower Text"/>
            <w:b/>
            <w:noProof/>
          </w:rPr>
          <w:fldChar w:fldCharType="end"/>
        </w:r>
        <w:r w:rsidR="00CF29F6" w:rsidRPr="00256424">
          <w:rPr>
            <w:rFonts w:ascii="High Tower Text" w:hAnsi="High Tower Text"/>
            <w:b/>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7322" w14:textId="77777777" w:rsidR="00B92F7A" w:rsidRPr="005031C8" w:rsidRDefault="00C86BB6" w:rsidP="0086112A">
    <w:pPr>
      <w:jc w:val="right"/>
      <w:rPr>
        <w:rFonts w:ascii="High Tower Text" w:hAnsi="High Tower Text" w:cs="Arial"/>
        <w:i/>
        <w:sz w:val="22"/>
        <w:szCs w:val="22"/>
        <w:lang w:val="id-ID"/>
      </w:rPr>
    </w:pPr>
    <w:r w:rsidRPr="005031C8">
      <w:rPr>
        <w:rFonts w:ascii="High Tower Text" w:hAnsi="High Tower Text" w:cs="Arial"/>
        <w:i/>
        <w:sz w:val="22"/>
        <w:szCs w:val="22"/>
        <w:lang w:val="id-ID"/>
      </w:rPr>
      <w:t>Copyright @</w:t>
    </w:r>
    <w:r w:rsidR="00B92F7A" w:rsidRPr="005031C8">
      <w:rPr>
        <w:rFonts w:ascii="High Tower Text" w:hAnsi="High Tower Text" w:cs="Arial"/>
        <w:i/>
        <w:sz w:val="22"/>
        <w:szCs w:val="22"/>
        <w:lang w:val="id-ID"/>
      </w:rPr>
      <w:t xml:space="preserve"> 2019 Author.</w:t>
    </w:r>
  </w:p>
  <w:p w14:paraId="470DC807" w14:textId="77777777" w:rsidR="003D0A1D" w:rsidRPr="005031C8" w:rsidRDefault="00C86BB6" w:rsidP="0086112A">
    <w:pPr>
      <w:jc w:val="right"/>
      <w:rPr>
        <w:rFonts w:ascii="High Tower Text" w:hAnsi="High Tower Text"/>
      </w:rPr>
    </w:pPr>
    <w:r w:rsidRPr="005031C8">
      <w:rPr>
        <w:rFonts w:ascii="High Tower Text" w:hAnsi="High Tower Text" w:cs="Arial"/>
        <w:i/>
        <w:sz w:val="22"/>
        <w:szCs w:val="22"/>
        <w:lang w:val="id-ID"/>
      </w:rPr>
      <w:t xml:space="preserve">Published </w:t>
    </w:r>
    <w:r w:rsidR="008738F6" w:rsidRPr="005031C8">
      <w:rPr>
        <w:rFonts w:ascii="High Tower Text" w:hAnsi="High Tower Text" w:cs="Arial"/>
        <w:i/>
        <w:sz w:val="22"/>
        <w:szCs w:val="22"/>
      </w:rPr>
      <w:t>by Jurnal Yaqzhan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5BCC2" w14:textId="77777777" w:rsidR="004B0500" w:rsidRDefault="004B0500" w:rsidP="00293244">
      <w:r>
        <w:separator/>
      </w:r>
    </w:p>
  </w:footnote>
  <w:footnote w:type="continuationSeparator" w:id="0">
    <w:p w14:paraId="2A45D4CD" w14:textId="77777777" w:rsidR="004B0500" w:rsidRDefault="004B0500" w:rsidP="00293244">
      <w:r>
        <w:continuationSeparator/>
      </w:r>
    </w:p>
  </w:footnote>
  <w:footnote w:id="1">
    <w:p w14:paraId="5F97ACB4" w14:textId="29EC057B" w:rsidR="007C2B17" w:rsidRDefault="007C2B17" w:rsidP="007C2B17">
      <w:pPr>
        <w:pStyle w:val="FootnoteText"/>
      </w:pPr>
      <w:r>
        <w:rPr>
          <w:rStyle w:val="FootnoteReference"/>
        </w:rPr>
        <w:footnoteRef/>
      </w:r>
      <w:r>
        <w:t xml:space="preserve"> </w:t>
      </w:r>
      <w:r>
        <w:fldChar w:fldCharType="begin" w:fldLock="1"/>
      </w:r>
      <w:r>
        <w:instrText>ADDIN CSL_CITATION {"citationItems":[{"id":"ITEM-1","itemData":{"DOI":"10.30821/jcims.v3i1.2001","ISSN":"2528-6110","abstract":"&lt;strong&gt;Abstrak: &lt;/strong&gt;Studi ini menganalisis falsafah pendidikan Pesantren Musthafawiyah. Pesantren ini telah menarik minat sejumlah peneliti, tetapi mereka belum mengungkap falsafah pendidikan yang dikembangkan dalam pesantren ini. Data kajian diperoleh dari kegiatan studi dokumen dan diperkuat dengan data yang diperoleh dari kegiatan observasi yang berkelanjutan, kemudian dianalisis dengan memanfaatkan model Miles dan Huberman. Studi ini mengajukan kesimpulan bahwa sebagaimana pesantren NU lain, Pesantren Musthafawiyah mengembangkan prinsip-prinsip &lt;em&gt;al-mu&lt;span style=\"text-decoration: underline;\"&gt;h&lt;/span&gt;âfazhah ‘ala qadîm al-shâli&lt;span style=\"text-decoration: underline;\"&gt;h&lt;/span&gt; wa al-akhzu bi al-jadîd al-ashlâ&lt;span style=\"text-decoration: underline;\"&gt;h&lt;/span&gt;, tawâzun, ta‘âdul, &lt;/em&gt;dan &lt;em&gt;tasâmu&lt;span style=\"text-decoration: underline;\"&gt;h&lt;/span&gt; &lt;/em&gt;dimana seluruh prinsip tersebut menjadi nilai-nilai dasar yang diterapkan dalam pembelajaran. Tentu saja, studi ini memperkuat kesimpulan sejumlah peneliti bahwa pesantren mengusung paham Islam moderat dan menolak radikalisme dalam beragama dan bernegara.&lt;br /&gt;&lt;br /&gt;&lt;strong&gt;Abstract: &lt;/strong&gt;&lt;strong&gt;Reaffirming &lt;em&gt;Nusantara Islam&lt;/em&gt;: Nahdlatul Ulama and the Educational Philosophy of Pesantren&lt;em&gt; &lt;/em&gt;Musthafawiyah.&lt;/strong&gt; This study analyzes the educational philosophy of Pesantren Musthafawiyah, a theme that has not been properly studies by former researchers. This &lt;em&gt;pesantren&lt;/em&gt; is affiliated with Nahdlatul Ulama; as a matter of fact, its founder, Sheikh Mustafa Husein, is also the founder of NU in North Sumatra. This study data was obtained through document reviews and strengthened with prolonged observation activities, then analyzed using the Miles and Huberman data analysis models. This study concludes that as with other NU &lt;em&gt;pesantren&lt;/em&gt;&lt;em&gt;s&lt;/em&gt;, Musthafawiyah develops the principles of &lt;em&gt;al-mu&lt;span style=\"text-decoration: underline;\"&gt;h&lt;/span&gt;âfazhah ‘ala qadîm al-shâli&lt;span style=\"text-decoration: underline;\"&gt;h&lt;/span&gt; wa al-akhzu bi al-jadîd al-ashlâ&lt;span style=\"text-decoration: underline;\"&gt;h&lt;/span&gt;, tawâzun, ta‘âdul,&lt;/em&gt;&lt;em&gt; &lt;/em&gt;and&lt;em&gt; tasâmuh&lt;/em&gt;, the principles of which have become the basic values that are applied in teaching and learning process. Of course, this study reinforces the conclusions of a number of researchers that Islamic boarding schools uphold a moderate understanding of Islam and reject radicalism in religion and state.&lt;br /&gt;&lt;br /&gt;&lt;strong&gt;Kata Kun…","author":[{"dropping-particle":"","family":"Salamuddin","given":"Salamuddin","non-dropping-particle":"","parse-names":false,"suffix":""}],"container-title":"Journal of Contemporary Islam and Muslim Societies","id":"ITEM-1","issue":"1","issued":{"date-parts":[["2019","3","14"]]},"page":"36","publisher":"MIQOT Jurnal Ilmu ilmu Keislaman","title":"MENEGUHKAN ISLAM NUSANTARA: Nahdlatul Ulama dan Falsafah Pendidikan Pesantren Musthafawiyah","type":"article-journal","volume":"3"},"uris":["http://www.mendeley.com/documents/?uuid=72d65980-2f33-34a1-9ea2-fe03e61c0ea6"]}],"mendeley":{"formattedCitation":"Salamuddin Salamuddin, “MENEGUHKAN ISLAM NUSANTARA: Nahdlatul Ulama Dan Falsafah Pendidikan Pesantren Musthafawiyah,” &lt;i&gt;Journal of Contemporary Islam and Muslim Societies&lt;/i&gt; 3, no. 1 (March 14, 2019): 36.","plainTextFormattedCitation":"Salamuddin Salamuddin, “MENEGUHKAN ISLAM NUSANTARA: Nahdlatul Ulama Dan Falsafah Pendidikan Pesantren Musthafawiyah,” Journal of Contemporary Islam and Muslim Societies 3, no. 1 (March 14, 2019): 36.","previouslyFormattedCitation":"Salamuddin Salamuddin, “MENEGUHKAN ISLAM NUSANTARA: Nahdlatul Ulama Dan Falsafah Pendidikan Pesantren Musthafawiyah,” &lt;i&gt;Journal of Contemporary Islam and Muslim Societies&lt;/i&gt; 3, no. 1 (March 14, 2019): 36."},"properties":{"noteIndex":1},"schema":"https://github.com/citation-style-language/schema/raw/master/csl-citation.json"}</w:instrText>
      </w:r>
      <w:r>
        <w:fldChar w:fldCharType="separate"/>
      </w:r>
      <w:r w:rsidRPr="007C2B17">
        <w:rPr>
          <w:noProof/>
        </w:rPr>
        <w:t xml:space="preserve">Salamuddin Salamuddin, “MENEGUHKAN ISLAM NUSANTARA: Nahdlatul Ulama Dan Falsafah Pendidikan Pesantren Musthafawiyah,” </w:t>
      </w:r>
      <w:r w:rsidRPr="007C2B17">
        <w:rPr>
          <w:i/>
          <w:noProof/>
        </w:rPr>
        <w:t>Journal of Contemporary Islam and Muslim Societies</w:t>
      </w:r>
      <w:r w:rsidRPr="007C2B17">
        <w:rPr>
          <w:noProof/>
        </w:rPr>
        <w:t xml:space="preserve"> 3, no. 1 (March 14, 2019): 36.</w:t>
      </w:r>
      <w:r>
        <w:fldChar w:fldCharType="end"/>
      </w:r>
    </w:p>
  </w:footnote>
  <w:footnote w:id="2">
    <w:p w14:paraId="3F8847CD" w14:textId="752B90D9" w:rsidR="007C2B17" w:rsidRDefault="007C2B17">
      <w:pPr>
        <w:pStyle w:val="FootnoteText"/>
      </w:pPr>
      <w:r>
        <w:rPr>
          <w:rStyle w:val="FootnoteReference"/>
        </w:rPr>
        <w:footnoteRef/>
      </w:r>
      <w:r>
        <w:t xml:space="preserve"> </w:t>
      </w:r>
      <w:r>
        <w:fldChar w:fldCharType="begin" w:fldLock="1"/>
      </w:r>
      <w:r>
        <w:instrText>ADDIN CSL_CITATION {"citationItems":[{"id":"ITEM-1","itemData":{"DOI":"10.30821/jcims.v3i1.2001","ISSN":"2528-6110","abstract":"&lt;strong&gt;Abstrak: &lt;/strong&gt;Studi ini menganalisis falsafah pendidikan Pesantren Musthafawiyah. Pesantren ini telah menarik minat sejumlah peneliti, tetapi mereka belum mengungkap falsafah pendidikan yang dikembangkan dalam pesantren ini. Data kajian diperoleh dari kegiatan studi dokumen dan diperkuat dengan data yang diperoleh dari kegiatan observasi yang berkelanjutan, kemudian dianalisis dengan memanfaatkan model Miles dan Huberman. Studi ini mengajukan kesimpulan bahwa sebagaimana pesantren NU lain, Pesantren Musthafawiyah mengembangkan prinsip-prinsip &lt;em&gt;al-mu&lt;span style=\"text-decoration: underline;\"&gt;h&lt;/span&gt;âfazhah ‘ala qadîm al-shâli&lt;span style=\"text-decoration: underline;\"&gt;h&lt;/span&gt; wa al-akhzu bi al-jadîd al-ashlâ&lt;span style=\"text-decoration: underline;\"&gt;h&lt;/span&gt;, tawâzun, ta‘âdul, &lt;/em&gt;dan &lt;em&gt;tasâmu&lt;span style=\"text-decoration: underline;\"&gt;h&lt;/span&gt; &lt;/em&gt;dimana seluruh prinsip tersebut menjadi nilai-nilai dasar yang diterapkan dalam pembelajaran. Tentu saja, studi ini memperkuat kesimpulan sejumlah peneliti bahwa pesantren mengusung paham Islam moderat dan menolak radikalisme dalam beragama dan bernegara.&lt;br /&gt;&lt;br /&gt;&lt;strong&gt;Abstract: &lt;/strong&gt;&lt;strong&gt;Reaffirming &lt;em&gt;Nusantara Islam&lt;/em&gt;: Nahdlatul Ulama and the Educational Philosophy of Pesantren&lt;em&gt; &lt;/em&gt;Musthafawiyah.&lt;/strong&gt; This study analyzes the educational philosophy of Pesantren Musthafawiyah, a theme that has not been properly studies by former researchers. This &lt;em&gt;pesantren&lt;/em&gt; is affiliated with Nahdlatul Ulama; as a matter of fact, its founder, Sheikh Mustafa Husein, is also the founder of NU in North Sumatra. This study data was obtained through document reviews and strengthened with prolonged observation activities, then analyzed using the Miles and Huberman data analysis models. This study concludes that as with other NU &lt;em&gt;pesantren&lt;/em&gt;&lt;em&gt;s&lt;/em&gt;, Musthafawiyah develops the principles of &lt;em&gt;al-mu&lt;span style=\"text-decoration: underline;\"&gt;h&lt;/span&gt;âfazhah ‘ala qadîm al-shâli&lt;span style=\"text-decoration: underline;\"&gt;h&lt;/span&gt; wa al-akhzu bi al-jadîd al-ashlâ&lt;span style=\"text-decoration: underline;\"&gt;h&lt;/span&gt;, tawâzun, ta‘âdul,&lt;/em&gt;&lt;em&gt; &lt;/em&gt;and&lt;em&gt; tasâmuh&lt;/em&gt;, the principles of which have become the basic values that are applied in teaching and learning process. Of course, this study reinforces the conclusions of a number of researchers that Islamic boarding schools uphold a moderate understanding of Islam and reject radicalism in religion and state.&lt;br /&gt;&lt;br /&gt;&lt;strong&gt;Kata Kun…","author":[{"dropping-particle":"","family":"Salamuddin","given":"Salamuddin","non-dropping-particle":"","parse-names":false,"suffix":""}],"container-title":"Journal of Contemporary Islam and Muslim Societies","id":"ITEM-1","issue":"1","issued":{"date-parts":[["2019","3","14"]]},"page":"36","publisher":"MIQOT Jurnal Ilmu ilmu Keislaman","title":"MENEGUHKAN ISLAM NUSANTARA: Nahdlatul Ulama dan Falsafah Pendidikan Pesantren Musthafawiyah","type":"article-journal","volume":"3"},"uris":["http://www.mendeley.com/documents/?uuid=adb4173e-6116-3d75-8044-7e0cdedfd234"]}],"mendeley":{"formattedCitation":"Salamuddin, “MENEGUHKAN ISLAM NUSANTARA: Nahdlatul Ulama Dan Falsafah Pendidikan Pesantren Musthafawiyah.”","plainTextFormattedCitation":"Salamuddin, “MENEGUHKAN ISLAM NUSANTARA: Nahdlatul Ulama Dan Falsafah Pendidikan Pesantren Musthafawiyah.”","previouslyFormattedCitation":"Salamuddin, “MENEGUHKAN ISLAM NUSANTARA: Nahdlatul Ulama Dan Falsafah Pendidikan Pesantren Musthafawiyah.”"},"properties":{"noteIndex":2},"schema":"https://github.com/citation-style-language/schema/raw/master/csl-citation.json"}</w:instrText>
      </w:r>
      <w:r>
        <w:fldChar w:fldCharType="separate"/>
      </w:r>
      <w:r w:rsidRPr="007C2B17">
        <w:rPr>
          <w:noProof/>
        </w:rPr>
        <w:t>Salamuddin, “MENEGUHKAN ISLAM NUSANTARA: Nahdlatul Ulama Dan Falsafah Pendidikan Pesantren Musthafawiyah.”</w:t>
      </w:r>
      <w:r>
        <w:fldChar w:fldCharType="end"/>
      </w:r>
    </w:p>
  </w:footnote>
  <w:footnote w:id="3">
    <w:p w14:paraId="0BD9B6D2" w14:textId="486125BD" w:rsidR="007C2B17" w:rsidRDefault="007C2B17">
      <w:pPr>
        <w:pStyle w:val="FootnoteText"/>
      </w:pPr>
      <w:r>
        <w:rPr>
          <w:rStyle w:val="FootnoteReference"/>
        </w:rPr>
        <w:footnoteRef/>
      </w:r>
      <w:r>
        <w:t xml:space="preserve"> </w:t>
      </w:r>
      <w:r>
        <w:fldChar w:fldCharType="begin" w:fldLock="1"/>
      </w:r>
      <w:r>
        <w:instrText>ADDIN CSL_CITATION {"citationItems":[{"id":"ITEM-1","itemData":{"DOI":"10.30821/jcims.v3i1.2001","ISSN":"2528-6110","abstract":"&lt;strong&gt;Abstrak: &lt;/strong&gt;Studi ini menganalisis falsafah pendidikan Pesantren Musthafawiyah. Pesantren ini telah menarik minat sejumlah peneliti, tetapi mereka belum mengungkap falsafah pendidikan yang dikembangkan dalam pesantren ini. Data kajian diperoleh dari kegiatan studi dokumen dan diperkuat dengan data yang diperoleh dari kegiatan observasi yang berkelanjutan, kemudian dianalisis dengan memanfaatkan model Miles dan Huberman. Studi ini mengajukan kesimpulan bahwa sebagaimana pesantren NU lain, Pesantren Musthafawiyah mengembangkan prinsip-prinsip &lt;em&gt;al-mu&lt;span style=\"text-decoration: underline;\"&gt;h&lt;/span&gt;âfazhah ‘ala qadîm al-shâli&lt;span style=\"text-decoration: underline;\"&gt;h&lt;/span&gt; wa al-akhzu bi al-jadîd al-ashlâ&lt;span style=\"text-decoration: underline;\"&gt;h&lt;/span&gt;, tawâzun, ta‘âdul, &lt;/em&gt;dan &lt;em&gt;tasâmu&lt;span style=\"text-decoration: underline;\"&gt;h&lt;/span&gt; &lt;/em&gt;dimana seluruh prinsip tersebut menjadi nilai-nilai dasar yang diterapkan dalam pembelajaran. Tentu saja, studi ini memperkuat kesimpulan sejumlah peneliti bahwa pesantren mengusung paham Islam moderat dan menolak radikalisme dalam beragama dan bernegara.&lt;br /&gt;&lt;br /&gt;&lt;strong&gt;Abstract: &lt;/strong&gt;&lt;strong&gt;Reaffirming &lt;em&gt;Nusantara Islam&lt;/em&gt;: Nahdlatul Ulama and the Educational Philosophy of Pesantren&lt;em&gt; &lt;/em&gt;Musthafawiyah.&lt;/strong&gt; This study analyzes the educational philosophy of Pesantren Musthafawiyah, a theme that has not been properly studies by former researchers. This &lt;em&gt;pesantren&lt;/em&gt; is affiliated with Nahdlatul Ulama; as a matter of fact, its founder, Sheikh Mustafa Husein, is also the founder of NU in North Sumatra. This study data was obtained through document reviews and strengthened with prolonged observation activities, then analyzed using the Miles and Huberman data analysis models. This study concludes that as with other NU &lt;em&gt;pesantren&lt;/em&gt;&lt;em&gt;s&lt;/em&gt;, Musthafawiyah develops the principles of &lt;em&gt;al-mu&lt;span style=\"text-decoration: underline;\"&gt;h&lt;/span&gt;âfazhah ‘ala qadîm al-shâli&lt;span style=\"text-decoration: underline;\"&gt;h&lt;/span&gt; wa al-akhzu bi al-jadîd al-ashlâ&lt;span style=\"text-decoration: underline;\"&gt;h&lt;/span&gt;, tawâzun, ta‘âdul,&lt;/em&gt;&lt;em&gt; &lt;/em&gt;and&lt;em&gt; tasâmuh&lt;/em&gt;, the principles of which have become the basic values that are applied in teaching and learning process. Of course, this study reinforces the conclusions of a number of researchers that Islamic boarding schools uphold a moderate understanding of Islam and reject radicalism in religion and state.&lt;br /&gt;&lt;br /&gt;&lt;strong&gt;Kata Kun…","author":[{"dropping-particle":"","family":"Salamuddin","given":"Salamuddin","non-dropping-particle":"","parse-names":false,"suffix":""}],"container-title":"Journal of Contemporary Islam and Muslim Societies","id":"ITEM-1","issue":"1","issued":{"date-parts":[["2019","3","14"]]},"page":"36","publisher":"MIQOT Jurnal Ilmu ilmu Keislaman","title":"MENEGUHKAN ISLAM NUSANTARA: Nahdlatul Ulama dan Falsafah Pendidikan Pesantren Musthafawiyah","type":"article-journal","volume":"3"},"uris":["http://www.mendeley.com/documents/?uuid=614156fd-d950-33b4-a6d1-9f44ef88af37"]}],"mendeley":{"formattedCitation":"Salamuddin, “MENEGUHKAN ISLAM NUSANTARA: Nahdlatul Ulama Dan Falsafah Pendidikan Pesantren Musthafawiyah.”","plainTextFormattedCitation":"Salamuddin, “MENEGUHKAN ISLAM NUSANTARA: Nahdlatul Ulama Dan Falsafah Pendidikan Pesantren Musthafawiyah.”","previouslyFormattedCitation":"Salamuddin, “MENEGUHKAN ISLAM NUSANTARA: Nahdlatul Ulama Dan Falsafah Pendidikan Pesantren Musthafawiyah.”"},"properties":{"noteIndex":3},"schema":"https://github.com/citation-style-language/schema/raw/master/csl-citation.json"}</w:instrText>
      </w:r>
      <w:r>
        <w:fldChar w:fldCharType="separate"/>
      </w:r>
      <w:r w:rsidRPr="007C2B17">
        <w:rPr>
          <w:noProof/>
        </w:rPr>
        <w:t>Salamuddin, “MENEGUHKAN ISLAM NUSANTARA: Nahdlatul Ulama Dan Falsafah Pendidikan Pesantren Musthafawiyah.”</w:t>
      </w:r>
      <w:r>
        <w:fldChar w:fldCharType="end"/>
      </w:r>
    </w:p>
  </w:footnote>
  <w:footnote w:id="4">
    <w:p w14:paraId="719CA887" w14:textId="3C79B9EC" w:rsidR="007C2B17" w:rsidRDefault="007C2B17" w:rsidP="007C2B17">
      <w:pPr>
        <w:pStyle w:val="FootnoteText"/>
      </w:pPr>
      <w:r>
        <w:rPr>
          <w:rStyle w:val="FootnoteReference"/>
        </w:rPr>
        <w:footnoteRef/>
      </w:r>
      <w:r>
        <w:t xml:space="preserve"> </w:t>
      </w:r>
      <w:r>
        <w:fldChar w:fldCharType="begin" w:fldLock="1"/>
      </w:r>
      <w:r>
        <w:instrText>ADDIN CSL_CITATION {"citationItems":[{"id":"ITEM-1","itemData":{"ISBN":"9796051443","abstract":"… Kelemahan-kelemahan manajerial dan organisasi seringkali menghambat langkah politik NU sehingga … bab V selanjutnya diuraikan refleksi diri yang di- lakukan NU terhadap eksistensi politiknya … ini dijalani untuk kembali menjadi jam'iyah sebagai organisasi nonpolitik tahun …","author":[{"dropping-particle":"","family":"Haidar","given":"M. Ali","non-dropping-particle":"","parse-names":false,"suffix":""}],"container-title":"Ebp.Aaykpn.Ac.Id","id":"ITEM-1","issued":{"date-parts":[["1994"]]},"page":"1-357","title":"NAHDATUL ULAMA DAN ISLAM DI INDONESIA Pendekatan Fikih dalam Politik","type":"article-journal"},"uris":["http://www.mendeley.com/documents/?uuid=0b9344e2-ff01-4966-b33a-f454dd18cb95"]}],"mendeley":{"formattedCitation":"M. Ali Haidar, “NAHDATUL ULAMA DAN ISLAM DI INDONESIA Pendekatan Fikih Dalam Politik,” &lt;i&gt;Ebp.Aaykpn.Ac.Id&lt;/i&gt; (1994): 1–357, http://www.ebp.aaykpn.ac.id/kitab/kitab2_ke_nu_an/NU dan Islam di Indonesia.pdf.","plainTextFormattedCitation":"M. Ali Haidar, “NAHDATUL ULAMA DAN ISLAM DI INDONESIA Pendekatan Fikih Dalam Politik,” Ebp.Aaykpn.Ac.Id (1994): 1–357, http://www.ebp.aaykpn.ac.id/kitab/kitab2_ke_nu_an/NU dan Islam di Indonesia.pdf.","previouslyFormattedCitation":"M. Ali Haidar, “NAHDATUL ULAMA DAN ISLAM DI INDONESIA Pendekatan Fikih Dalam Politik,” &lt;i&gt;Ebp.Aaykpn.Ac.Id&lt;/i&gt; (1994): 1–357, http://www.ebp.aaykpn.ac.id/kitab/kitab2_ke_nu_an/NU dan Islam di Indonesia.pdf."},"properties":{"noteIndex":4},"schema":"https://github.com/citation-style-language/schema/raw/master/csl-citation.json"}</w:instrText>
      </w:r>
      <w:r>
        <w:fldChar w:fldCharType="separate"/>
      </w:r>
      <w:r w:rsidRPr="007C2B17">
        <w:rPr>
          <w:noProof/>
        </w:rPr>
        <w:t xml:space="preserve">M. Ali Haidar, “NAHDATUL ULAMA DAN ISLAM DI INDONESIA Pendekatan Fikih Dalam Politik,” </w:t>
      </w:r>
      <w:r w:rsidRPr="007C2B17">
        <w:rPr>
          <w:i/>
          <w:noProof/>
        </w:rPr>
        <w:t>Ebp.Aaykpn.Ac.Id</w:t>
      </w:r>
      <w:r w:rsidRPr="007C2B17">
        <w:rPr>
          <w:noProof/>
        </w:rPr>
        <w:t xml:space="preserve"> (1994): 1–357, http://www.ebp.aaykpn.ac.id/kitab/kitab2_ke_nu_an/NU dan Islam di Indonesia.pdf.</w:t>
      </w:r>
      <w:r>
        <w:fldChar w:fldCharType="end"/>
      </w:r>
    </w:p>
  </w:footnote>
  <w:footnote w:id="5">
    <w:p w14:paraId="341FECDF" w14:textId="2E6BADDA" w:rsidR="007C2B17" w:rsidRDefault="007C2B17" w:rsidP="007C2B17">
      <w:pPr>
        <w:pStyle w:val="FootnoteText"/>
      </w:pPr>
      <w:r>
        <w:rPr>
          <w:rStyle w:val="FootnoteReference"/>
        </w:rPr>
        <w:footnoteRef/>
      </w:r>
      <w:r>
        <w:t xml:space="preserve"> </w:t>
      </w:r>
      <w:r>
        <w:fldChar w:fldCharType="begin" w:fldLock="1"/>
      </w:r>
      <w:r>
        <w:instrText>ADDIN CSL_CITATION {"citationItems":[{"id":"ITEM-1","itemData":{"abstract":"There were different orientation in the background and methods of ijthad between Bahtsul Masail Nahdlatul Ulama (NU) and Majelis Tarjih Muhammadiyah (The Muhammadiyah Legal Affairs Committee). The ijtihad orientation of Bahtsul Masail emphasizes on cultural approach to maintain the previous values that have been good, and take the new values better. This approach accepts local culture and wisdom as part of the past products that has no conflict with al-Qur'an and al-Hadith, or by changing the content of culture and local wisdom with Quranic and Sunnah content. This approach is different from the ijtihad orientation model developed by Majelis Tarjih Muhammadiyah called \"tajdid\". With this approach, Majelis Tarjih Muhammadiyah attempts to recover and purify Islam according to its original teachings. With its popular jargon \"Back","author":[{"dropping-particle":"","family":"Isa Anshori","given":"","non-dropping-particle":"","parse-names":false,"suffix":""}],"container-title":"Nizam","id":"ITEM-1","issue":"1","issued":{"date-parts":[["2014"]]},"page":"125-139","title":"Perbedaan Metode Ijtihad Nahdlatul Ulama dan Muhammadiyah dalam Corak Fikih di Indonesia","type":"article-journal","volume":"4"},"uris":["http://www.mendeley.com/documents/?uuid=fc80c3d1-93cb-45d0-8ef0-e9376f70bf35"]}],"mendeley":{"formattedCitation":"Isa Anshori, “Perbedaan Metode Ijtihad Nahdlatul Ulama Dan Muhammadiyah Dalam Corak Fikih Di Indonesia,” &lt;i&gt;Nizam&lt;/i&gt; 4, no. 1 (2014): 125–139, https://www.neliti.com/publications/154605/perbedaan-metode-ijtihad-nahdlatul-ulama-dan-muhammadiyah-dalam-corak-fikih-di-i.","plainTextFormattedCitation":"Isa Anshori, “Perbedaan Metode Ijtihad Nahdlatul Ulama Dan Muhammadiyah Dalam Corak Fikih Di Indonesia,” Nizam 4, no. 1 (2014): 125–139, https://www.neliti.com/publications/154605/perbedaan-metode-ijtihad-nahdlatul-ulama-dan-muhammadiyah-dalam-corak-fikih-di-i.","previouslyFormattedCitation":"Isa Anshori, “Perbedaan Metode Ijtihad Nahdlatul Ulama Dan Muhammadiyah Dalam Corak Fikih Di Indonesia,” &lt;i&gt;Nizam&lt;/i&gt; 4, no. 1 (2014): 125–139, https://www.neliti.com/publications/154605/perbedaan-metode-ijtihad-nahdlatul-ulama-dan-muhammadiyah-dalam-corak-fikih-di-i."},"properties":{"noteIndex":5},"schema":"https://github.com/citation-style-language/schema/raw/master/csl-citation.json"}</w:instrText>
      </w:r>
      <w:r>
        <w:fldChar w:fldCharType="separate"/>
      </w:r>
      <w:r w:rsidRPr="007C2B17">
        <w:rPr>
          <w:noProof/>
        </w:rPr>
        <w:t xml:space="preserve">Isa Anshori, “Perbedaan Metode Ijtihad Nahdlatul Ulama Dan Muhammadiyah Dalam Corak Fikih Di Indonesia,” </w:t>
      </w:r>
      <w:r w:rsidRPr="007C2B17">
        <w:rPr>
          <w:i/>
          <w:noProof/>
        </w:rPr>
        <w:t>Nizam</w:t>
      </w:r>
      <w:r w:rsidRPr="007C2B17">
        <w:rPr>
          <w:noProof/>
        </w:rPr>
        <w:t xml:space="preserve"> 4, no. 1 (2014): 125–139, https://www.neliti.com/publications/154605/perbedaan-metode-ijtihad-nahdlatul-ulama-dan-muhammadiyah-dalam-corak-fikih-di-i.</w:t>
      </w:r>
      <w:r>
        <w:fldChar w:fldCharType="end"/>
      </w:r>
    </w:p>
  </w:footnote>
  <w:footnote w:id="6">
    <w:p w14:paraId="32F50178" w14:textId="6E96915A" w:rsidR="007C2B17" w:rsidRDefault="007C2B17" w:rsidP="007C2B17">
      <w:pPr>
        <w:pStyle w:val="FootnoteText"/>
      </w:pPr>
      <w:r>
        <w:rPr>
          <w:rStyle w:val="FootnoteReference"/>
        </w:rPr>
        <w:footnoteRef/>
      </w:r>
      <w:r>
        <w:t xml:space="preserve"> </w:t>
      </w:r>
      <w:r>
        <w:fldChar w:fldCharType="begin" w:fldLock="1"/>
      </w:r>
      <w:r>
        <w:instrText>ADDIN CSL_CITATION {"citationItems":[{"id":"ITEM-1","itemData":{"DOI":"10.22515/shahih.v1i1.53","ISSN":"2527-8118","abstract":"The objective of this article is to explore the concept ofÂ Islam NusantaraÂ (IN)Â observed from the structural theory of Islam and local culture relation, along with the reason why INÂ is developed into the concept of the Islamic proselytizingÂ Rahmatan lilalaminÂ by the intellectualÂ Nahdhatul UlamaÂ (NU). It comes from the NU Intellectuals claim that IN is the mediator in the controversy of Islam and local culture relation, moreover in the global scale it is going to be proselytized in the International, whereas the IN is still regarded as an issue and has not fulfilled the knowledge standard yet. Through philosophical approach, socio-anthropolinguistics based on the data inÂ www.nu.or.idÂ and topic analysis as its data analysis, it is found that the intellectualÂ of NUÂ used eight approaches to concept the IN.Â TheÂ INÂ set that Islam influences Indonesian culture and the INs success and ability to dialogue with Indonesian culture trigger the intellectual NU to promote it to the International.","author":[{"dropping-particle":"","family":"Luthfi","given":"Khabibi Muhammad","non-dropping-particle":"","parse-names":false,"suffix":""}],"container-title":"SHAHIH: Journal of Islamicate Multidisciplinary","id":"ITEM-1","issue":"1","issued":{"date-parts":[["2016"]]},"page":"1-12","title":"Islam Nusantara: Relasi Islam dan Budaya Lokal","type":"article-journal","volume":"1"},"uris":["http://www.mendeley.com/documents/?uuid=99e72e3b-a20a-4f97-9744-65659a20b3f6"]}],"mendeley":{"formattedCitation":"Khabibi Muhammad Luthfi, “Islam Nusantara: Relasi Islam Dan Budaya Lokal,” &lt;i&gt;SHAHIH: Journal of Islamicate Multidisciplinary&lt;/i&gt; 1, no. 1 (2016): 1–12.","plainTextFormattedCitation":"Khabibi Muhammad Luthfi, “Islam Nusantara: Relasi Islam Dan Budaya Lokal,” SHAHIH: Journal of Islamicate Multidisciplinary 1, no. 1 (2016): 1–12.","previouslyFormattedCitation":"Khabibi Muhammad Luthfi, “Islam Nusantara: Relasi Islam Dan Budaya Lokal,” &lt;i&gt;SHAHIH: Journal of Islamicate Multidisciplinary&lt;/i&gt; 1, no. 1 (2016): 1–12."},"properties":{"noteIndex":6},"schema":"https://github.com/citation-style-language/schema/raw/master/csl-citation.json"}</w:instrText>
      </w:r>
      <w:r>
        <w:fldChar w:fldCharType="separate"/>
      </w:r>
      <w:r w:rsidRPr="007C2B17">
        <w:rPr>
          <w:noProof/>
        </w:rPr>
        <w:t xml:space="preserve">Khabibi Muhammad Luthfi, “Islam Nusantara: Relasi Islam Dan Budaya Lokal,” </w:t>
      </w:r>
      <w:r w:rsidRPr="007C2B17">
        <w:rPr>
          <w:i/>
          <w:noProof/>
        </w:rPr>
        <w:t>SHAHIH: Journal of Islamicate Multidisciplinary</w:t>
      </w:r>
      <w:r w:rsidRPr="007C2B17">
        <w:rPr>
          <w:noProof/>
        </w:rPr>
        <w:t xml:space="preserve"> 1, no. 1 (2016): 1–12.</w:t>
      </w:r>
      <w:r>
        <w:fldChar w:fldCharType="end"/>
      </w:r>
    </w:p>
  </w:footnote>
  <w:footnote w:id="7">
    <w:p w14:paraId="3B4A7121" w14:textId="7381203B" w:rsidR="007C2B17" w:rsidRDefault="007C2B17">
      <w:pPr>
        <w:pStyle w:val="FootnoteText"/>
      </w:pPr>
      <w:r>
        <w:rPr>
          <w:rStyle w:val="FootnoteReference"/>
        </w:rPr>
        <w:footnoteRef/>
      </w:r>
      <w:r>
        <w:t xml:space="preserve"> </w:t>
      </w:r>
      <w:r>
        <w:fldChar w:fldCharType="begin" w:fldLock="1"/>
      </w:r>
      <w:r>
        <w:instrText>ADDIN CSL_CITATION {"citationItems":[{"id":"ITEM-1","itemData":{"DOI":"10.30821/jcims.v3i1.2001","ISSN":"2528-6110","abstract":"&lt;strong&gt;Abstrak: &lt;/strong&gt;Studi ini menganalisis falsafah pendidikan Pesantren Musthafawiyah. Pesantren ini telah menarik minat sejumlah peneliti, tetapi mereka belum mengungkap falsafah pendidikan yang dikembangkan dalam pesantren ini. Data kajian diperoleh dari kegiatan studi dokumen dan diperkuat dengan data yang diperoleh dari kegiatan observasi yang berkelanjutan, kemudian dianalisis dengan memanfaatkan model Miles dan Huberman. Studi ini mengajukan kesimpulan bahwa sebagaimana pesantren NU lain, Pesantren Musthafawiyah mengembangkan prinsip-prinsip &lt;em&gt;al-mu&lt;span style=\"text-decoration: underline;\"&gt;h&lt;/span&gt;âfazhah ‘ala qadîm al-shâli&lt;span style=\"text-decoration: underline;\"&gt;h&lt;/span&gt; wa al-akhzu bi al-jadîd al-ashlâ&lt;span style=\"text-decoration: underline;\"&gt;h&lt;/span&gt;, tawâzun, ta‘âdul, &lt;/em&gt;dan &lt;em&gt;tasâmu&lt;span style=\"text-decoration: underline;\"&gt;h&lt;/span&gt; &lt;/em&gt;dimana seluruh prinsip tersebut menjadi nilai-nilai dasar yang diterapkan dalam pembelajaran. Tentu saja, studi ini memperkuat kesimpulan sejumlah peneliti bahwa pesantren mengusung paham Islam moderat dan menolak radikalisme dalam beragama dan bernegara.&lt;br /&gt;&lt;br /&gt;&lt;strong&gt;Abstract: &lt;/strong&gt;&lt;strong&gt;Reaffirming &lt;em&gt;Nusantara Islam&lt;/em&gt;: Nahdlatul Ulama and the Educational Philosophy of Pesantren&lt;em&gt; &lt;/em&gt;Musthafawiyah.&lt;/strong&gt; This study analyzes the educational philosophy of Pesantren Musthafawiyah, a theme that has not been properly studies by former researchers. This &lt;em&gt;pesantren&lt;/em&gt; is affiliated with Nahdlatul Ulama; as a matter of fact, its founder, Sheikh Mustafa Husein, is also the founder of NU in North Sumatra. This study data was obtained through document reviews and strengthened with prolonged observation activities, then analyzed using the Miles and Huberman data analysis models. This study concludes that as with other NU &lt;em&gt;pesantren&lt;/em&gt;&lt;em&gt;s&lt;/em&gt;, Musthafawiyah develops the principles of &lt;em&gt;al-mu&lt;span style=\"text-decoration: underline;\"&gt;h&lt;/span&gt;âfazhah ‘ala qadîm al-shâli&lt;span style=\"text-decoration: underline;\"&gt;h&lt;/span&gt; wa al-akhzu bi al-jadîd al-ashlâ&lt;span style=\"text-decoration: underline;\"&gt;h&lt;/span&gt;, tawâzun, ta‘âdul,&lt;/em&gt;&lt;em&gt; &lt;/em&gt;and&lt;em&gt; tasâmuh&lt;/em&gt;, the principles of which have become the basic values that are applied in teaching and learning process. Of course, this study reinforces the conclusions of a number of researchers that Islamic boarding schools uphold a moderate understanding of Islam and reject radicalism in religion and state.&lt;br /&gt;&lt;br /&gt;&lt;strong&gt;Kata Kun…","author":[{"dropping-particle":"","family":"Salamuddin","given":"Salamuddin","non-dropping-particle":"","parse-names":false,"suffix":""}],"container-title":"Journal of Contemporary Islam and Muslim Societies","id":"ITEM-1","issue":"1","issued":{"date-parts":[["2019","3","14"]]},"page":"36","publisher":"MIQOT Jurnal Ilmu ilmu Keislaman","title":"MENEGUHKAN ISLAM NUSANTARA: Nahdlatul Ulama dan Falsafah Pendidikan Pesantren Musthafawiyah","type":"article-journal","volume":"3"},"uris":["http://www.mendeley.com/documents/?uuid=72d65980-2f33-34a1-9ea2-fe03e61c0ea6"]}],"mendeley":{"formattedCitation":"Salamuddin, “MENEGUHKAN ISLAM NUSANTARA: Nahdlatul Ulama Dan Falsafah Pendidikan Pesantren Musthafawiyah.”","plainTextFormattedCitation":"Salamuddin, “MENEGUHKAN ISLAM NUSANTARA: Nahdlatul Ulama Dan Falsafah Pendidikan Pesantren Musthafawiyah.”","previouslyFormattedCitation":"Salamuddin, “MENEGUHKAN ISLAM NUSANTARA: Nahdlatul Ulama Dan Falsafah Pendidikan Pesantren Musthafawiyah.”"},"properties":{"noteIndex":7},"schema":"https://github.com/citation-style-language/schema/raw/master/csl-citation.json"}</w:instrText>
      </w:r>
      <w:r>
        <w:fldChar w:fldCharType="separate"/>
      </w:r>
      <w:r w:rsidRPr="007C2B17">
        <w:rPr>
          <w:noProof/>
        </w:rPr>
        <w:t>Salamuddin, “MENEGUHKAN ISLAM NUSANTARA: Nahdlatul Ulama Dan Falsafah Pendidikan Pesantren Musthafawiyah.”</w:t>
      </w:r>
      <w:r>
        <w:fldChar w:fldCharType="end"/>
      </w:r>
    </w:p>
  </w:footnote>
  <w:footnote w:id="8">
    <w:p w14:paraId="62097CD7" w14:textId="2E2C45C1" w:rsidR="007C2B17" w:rsidRDefault="007C2B17">
      <w:pPr>
        <w:pStyle w:val="FootnoteText"/>
      </w:pPr>
      <w:r>
        <w:rPr>
          <w:rStyle w:val="FootnoteReference"/>
        </w:rPr>
        <w:footnoteRef/>
      </w:r>
      <w:r>
        <w:t xml:space="preserve"> </w:t>
      </w:r>
      <w:r>
        <w:fldChar w:fldCharType="begin" w:fldLock="1"/>
      </w:r>
      <w:r>
        <w:instrText>ADDIN CSL_CITATION {"citationItems":[{"id":"ITEM-1","itemData":{"ISBN":"9796051443","abstract":"… Kelemahan-kelemahan manajerial dan organisasi seringkali menghambat langkah politik NU sehingga … bab V selanjutnya diuraikan refleksi diri yang di- lakukan NU terhadap eksistensi politiknya … ini dijalani untuk kembali menjadi jam'iyah sebagai organisasi nonpolitik tahun …","author":[{"dropping-particle":"","family":"Haidar","given":"M. Ali","non-dropping-particle":"","parse-names":false,"suffix":""}],"container-title":"Ebp.Aaykpn.Ac.Id","id":"ITEM-1","issued":{"date-parts":[["1994"]]},"page":"1-357","title":"NAHDATUL ULAMA DAN ISLAM DI INDONESIA Pendekatan Fikih dalam Politik","type":"article-journal"},"uris":["http://www.mendeley.com/documents/?uuid=0b9344e2-ff01-4966-b33a-f454dd18cb95"]}],"mendeley":{"formattedCitation":"Haidar, “NAHDATUL ULAMA DAN ISLAM DI INDONESIA Pendekatan Fikih Dalam Politik.”","plainTextFormattedCitation":"Haidar, “NAHDATUL ULAMA DAN ISLAM DI INDONESIA Pendekatan Fikih Dalam Politik.”","previouslyFormattedCitation":"Haidar, “NAHDATUL ULAMA DAN ISLAM DI INDONESIA Pendekatan Fikih Dalam Politik.”"},"properties":{"noteIndex":8},"schema":"https://github.com/citation-style-language/schema/raw/master/csl-citation.json"}</w:instrText>
      </w:r>
      <w:r>
        <w:fldChar w:fldCharType="separate"/>
      </w:r>
      <w:r w:rsidRPr="007C2B17">
        <w:rPr>
          <w:noProof/>
        </w:rPr>
        <w:t>Haidar, “NAHDATUL ULAMA DAN ISLAM DI INDONESIA Pendekatan Fikih Dalam Politik.”</w:t>
      </w:r>
      <w:r>
        <w:fldChar w:fldCharType="end"/>
      </w:r>
    </w:p>
  </w:footnote>
  <w:footnote w:id="9">
    <w:p w14:paraId="2062DFE3" w14:textId="1D6228AF" w:rsidR="007C2B17" w:rsidRDefault="007C2B17">
      <w:pPr>
        <w:pStyle w:val="FootnoteText"/>
      </w:pPr>
      <w:r>
        <w:rPr>
          <w:rStyle w:val="FootnoteReference"/>
        </w:rPr>
        <w:footnoteRef/>
      </w:r>
      <w:r>
        <w:t xml:space="preserve"> </w:t>
      </w:r>
      <w:r>
        <w:fldChar w:fldCharType="begin" w:fldLock="1"/>
      </w:r>
      <w:r>
        <w:instrText>ADDIN CSL_CITATION {"citationItems":[{"id":"ITEM-1","itemData":{"DOI":"10.30821/jcims.v3i1.2001","ISSN":"2528-6110","abstract":"&lt;strong&gt;Abstrak: &lt;/strong&gt;Studi ini menganalisis falsafah pendidikan Pesantren Musthafawiyah. Pesantren ini telah menarik minat sejumlah peneliti, tetapi mereka belum mengungkap falsafah pendidikan yang dikembangkan dalam pesantren ini. Data kajian diperoleh dari kegiatan studi dokumen dan diperkuat dengan data yang diperoleh dari kegiatan observasi yang berkelanjutan, kemudian dianalisis dengan memanfaatkan model Miles dan Huberman. Studi ini mengajukan kesimpulan bahwa sebagaimana pesantren NU lain, Pesantren Musthafawiyah mengembangkan prinsip-prinsip &lt;em&gt;al-mu&lt;span style=\"text-decoration: underline;\"&gt;h&lt;/span&gt;âfazhah ‘ala qadîm al-shâli&lt;span style=\"text-decoration: underline;\"&gt;h&lt;/span&gt; wa al-akhzu bi al-jadîd al-ashlâ&lt;span style=\"text-decoration: underline;\"&gt;h&lt;/span&gt;, tawâzun, ta‘âdul, &lt;/em&gt;dan &lt;em&gt;tasâmu&lt;span style=\"text-decoration: underline;\"&gt;h&lt;/span&gt; &lt;/em&gt;dimana seluruh prinsip tersebut menjadi nilai-nilai dasar yang diterapkan dalam pembelajaran. Tentu saja, studi ini memperkuat kesimpulan sejumlah peneliti bahwa pesantren mengusung paham Islam moderat dan menolak radikalisme dalam beragama dan bernegara.&lt;br /&gt;&lt;br /&gt;&lt;strong&gt;Abstract: &lt;/strong&gt;&lt;strong&gt;Reaffirming &lt;em&gt;Nusantara Islam&lt;/em&gt;: Nahdlatul Ulama and the Educational Philosophy of Pesantren&lt;em&gt; &lt;/em&gt;Musthafawiyah.&lt;/strong&gt; This study analyzes the educational philosophy of Pesantren Musthafawiyah, a theme that has not been properly studies by former researchers. This &lt;em&gt;pesantren&lt;/em&gt; is affiliated with Nahdlatul Ulama; as a matter of fact, its founder, Sheikh Mustafa Husein, is also the founder of NU in North Sumatra. This study data was obtained through document reviews and strengthened with prolonged observation activities, then analyzed using the Miles and Huberman data analysis models. This study concludes that as with other NU &lt;em&gt;pesantren&lt;/em&gt;&lt;em&gt;s&lt;/em&gt;, Musthafawiyah develops the principles of &lt;em&gt;al-mu&lt;span style=\"text-decoration: underline;\"&gt;h&lt;/span&gt;âfazhah ‘ala qadîm al-shâli&lt;span style=\"text-decoration: underline;\"&gt;h&lt;/span&gt; wa al-akhzu bi al-jadîd al-ashlâ&lt;span style=\"text-decoration: underline;\"&gt;h&lt;/span&gt;, tawâzun, ta‘âdul,&lt;/em&gt;&lt;em&gt; &lt;/em&gt;and&lt;em&gt; tasâmuh&lt;/em&gt;, the principles of which have become the basic values that are applied in teaching and learning process. Of course, this study reinforces the conclusions of a number of researchers that Islamic boarding schools uphold a moderate understanding of Islam and reject radicalism in religion and state.&lt;br /&gt;&lt;br /&gt;&lt;strong&gt;Kata Kun…","author":[{"dropping-particle":"","family":"Salamuddin","given":"Salamuddin","non-dropping-particle":"","parse-names":false,"suffix":""}],"container-title":"Journal of Contemporary Islam and Muslim Societies","id":"ITEM-1","issue":"1","issued":{"date-parts":[["2019","3","14"]]},"page":"36","publisher":"MIQOT Jurnal Ilmu ilmu Keislaman","title":"MENEGUHKAN ISLAM NUSANTARA: Nahdlatul Ulama dan Falsafah Pendidikan Pesantren Musthafawiyah","type":"article-journal","volume":"3"},"uris":["http://www.mendeley.com/documents/?uuid=614156fd-d950-33b4-a6d1-9f44ef88af37"]}],"mendeley":{"formattedCitation":"Salamuddin, “MENEGUHKAN ISLAM NUSANTARA: Nahdlatul Ulama Dan Falsafah Pendidikan Pesantren Musthafawiyah.”","plainTextFormattedCitation":"Salamuddin, “MENEGUHKAN ISLAM NUSANTARA: Nahdlatul Ulama Dan Falsafah Pendidikan Pesantren Musthafawiyah.”","previouslyFormattedCitation":"Salamuddin, “MENEGUHKAN ISLAM NUSANTARA: Nahdlatul Ulama Dan Falsafah Pendidikan Pesantren Musthafawiyah.”"},"properties":{"noteIndex":9},"schema":"https://github.com/citation-style-language/schema/raw/master/csl-citation.json"}</w:instrText>
      </w:r>
      <w:r>
        <w:fldChar w:fldCharType="separate"/>
      </w:r>
      <w:r w:rsidRPr="007C2B17">
        <w:rPr>
          <w:noProof/>
        </w:rPr>
        <w:t>Salamuddin, “MENEGUHKAN ISLAM NUSANTARA: Nahdlatul Ulama Dan Falsafah Pendidikan Pesantren Musthafawiyah.”</w:t>
      </w:r>
      <w:r>
        <w:fldChar w:fldCharType="end"/>
      </w:r>
    </w:p>
  </w:footnote>
  <w:footnote w:id="10">
    <w:p w14:paraId="7B15847B" w14:textId="2B330311" w:rsidR="007C2B17" w:rsidRDefault="007C2B17">
      <w:pPr>
        <w:pStyle w:val="FootnoteText"/>
      </w:pPr>
      <w:r>
        <w:rPr>
          <w:rStyle w:val="FootnoteReference"/>
        </w:rPr>
        <w:footnoteRef/>
      </w:r>
      <w:r>
        <w:t xml:space="preserve"> </w:t>
      </w:r>
      <w:r>
        <w:fldChar w:fldCharType="begin" w:fldLock="1"/>
      </w:r>
      <w:r>
        <w:instrText>ADDIN CSL_CITATION {"citationItems":[{"id":"ITEM-1","itemData":{"ISBN":"9796051443","abstract":"… Kelemahan-kelemahan manajerial dan organisasi seringkali menghambat langkah politik NU sehingga … bab V selanjutnya diuraikan refleksi diri yang di- lakukan NU terhadap eksistensi politiknya … ini dijalani untuk kembali menjadi jam'iyah sebagai organisasi nonpolitik tahun …","author":[{"dropping-particle":"","family":"Haidar","given":"M. Ali","non-dropping-particle":"","parse-names":false,"suffix":""}],"container-title":"Ebp.Aaykpn.Ac.Id","id":"ITEM-1","issued":{"date-parts":[["1994"]]},"page":"1-357","title":"NAHDATUL ULAMA DAN ISLAM DI INDONESIA Pendekatan Fikih dalam Politik","type":"article-journal"},"uris":["http://www.mendeley.com/documents/?uuid=0b9344e2-ff01-4966-b33a-f454dd18cb95"]}],"mendeley":{"formattedCitation":"Haidar, “NAHDATUL ULAMA DAN ISLAM DI INDONESIA Pendekatan Fikih Dalam Politik.”","plainTextFormattedCitation":"Haidar, “NAHDATUL ULAMA DAN ISLAM DI INDONESIA Pendekatan Fikih Dalam Politik.”","previouslyFormattedCitation":"Haidar, “NAHDATUL ULAMA DAN ISLAM DI INDONESIA Pendekatan Fikih Dalam Politik.”"},"properties":{"noteIndex":10},"schema":"https://github.com/citation-style-language/schema/raw/master/csl-citation.json"}</w:instrText>
      </w:r>
      <w:r>
        <w:fldChar w:fldCharType="separate"/>
      </w:r>
      <w:r w:rsidRPr="007C2B17">
        <w:rPr>
          <w:noProof/>
        </w:rPr>
        <w:t>Haidar, “NAHDATUL ULAMA DAN ISLAM DI INDONESIA Pendekatan Fikih Dalam Politik.”</w:t>
      </w:r>
      <w:r>
        <w:fldChar w:fldCharType="end"/>
      </w:r>
    </w:p>
  </w:footnote>
  <w:footnote w:id="11">
    <w:p w14:paraId="61CED797" w14:textId="1AB4044E" w:rsidR="007C2B17" w:rsidRDefault="007C2B17" w:rsidP="007C2B17">
      <w:pPr>
        <w:pStyle w:val="FootnoteText"/>
      </w:pPr>
      <w:r>
        <w:rPr>
          <w:rStyle w:val="FootnoteReference"/>
        </w:rPr>
        <w:footnoteRef/>
      </w:r>
      <w:r>
        <w:t xml:space="preserve"> </w:t>
      </w:r>
      <w:r>
        <w:fldChar w:fldCharType="begin" w:fldLock="1"/>
      </w:r>
      <w:r>
        <w:instrText>ADDIN CSL_CITATION {"citationItems":[{"id":"ITEM-1","itemData":{"author":[{"dropping-particle":"","family":"Hidayatullah","given":"Syarif","non-dropping-particle":"","parse-names":false,"suffix":""}],"id":"ITEM-1","issued":{"date-parts":[["0"]]},"title":"TINJAUAN FILOSOFIS TERHADAP TRADISI NU: SEBUAH UPAYA EKSPLORASI FILSAFAT NUSANTARA","type":"report"},"uris":["http://www.mendeley.com/documents/?uuid=2cd6b43d-f749-3dbc-9c63-4491ea6b02d1"]}],"mendeley":{"formattedCitation":"Syarif Hidayatullah, &lt;i&gt;TINJAUAN FILOSOFIS TERHADAP TRADISI NU: SEBUAH UPAYA EKSPLORASI FILSAFAT NUSANTARA&lt;/i&gt;, n.d.","plainTextFormattedCitation":"Syarif Hidayatullah, TINJAUAN FILOSOFIS TERHADAP TRADISI NU: SEBUAH UPAYA EKSPLORASI FILSAFAT NUSANTARA, n.d.","previouslyFormattedCitation":"Syarif Hidayatullah, &lt;i&gt;TINJAUAN FILOSOFIS TERHADAP TRADISI NU: SEBUAH UPAYA EKSPLORASI FILSAFAT NUSANTARA&lt;/i&gt;, n.d."},"properties":{"noteIndex":11},"schema":"https://github.com/citation-style-language/schema/raw/master/csl-citation.json"}</w:instrText>
      </w:r>
      <w:r>
        <w:fldChar w:fldCharType="separate"/>
      </w:r>
      <w:r w:rsidRPr="007C2B17">
        <w:rPr>
          <w:noProof/>
        </w:rPr>
        <w:t xml:space="preserve">Syarif Hidayatullah, </w:t>
      </w:r>
      <w:r w:rsidRPr="007C2B17">
        <w:rPr>
          <w:i/>
          <w:noProof/>
        </w:rPr>
        <w:t>TINJAUAN FILOSOFIS TERHADAP TRADISI NU: SEBUAH UPAYA EKSPLORASI FILSAFAT NUSANTARA</w:t>
      </w:r>
      <w:r w:rsidRPr="007C2B17">
        <w:rPr>
          <w:noProof/>
        </w:rPr>
        <w:t>, n.d.</w:t>
      </w:r>
      <w:r>
        <w:fldChar w:fldCharType="end"/>
      </w:r>
    </w:p>
  </w:footnote>
  <w:footnote w:id="12">
    <w:p w14:paraId="51B2DCF8" w14:textId="67BA4481" w:rsidR="007C2B17" w:rsidRDefault="007C2B17">
      <w:pPr>
        <w:pStyle w:val="FootnoteText"/>
      </w:pPr>
      <w:r>
        <w:rPr>
          <w:rStyle w:val="FootnoteReference"/>
        </w:rPr>
        <w:footnoteRef/>
      </w:r>
      <w:r>
        <w:t xml:space="preserve"> </w:t>
      </w:r>
      <w:r>
        <w:fldChar w:fldCharType="begin" w:fldLock="1"/>
      </w:r>
      <w:r>
        <w:instrText>ADDIN CSL_CITATION {"citationItems":[{"id":"ITEM-1","itemData":{"DOI":"10.30821/jcims.v3i1.2001","ISSN":"2528-6110","abstract":"&lt;strong&gt;Abstrak: &lt;/strong&gt;Studi ini menganalisis falsafah pendidikan Pesantren Musthafawiyah. Pesantren ini telah menarik minat sejumlah peneliti, tetapi mereka belum mengungkap falsafah pendidikan yang dikembangkan dalam pesantren ini. Data kajian diperoleh dari kegiatan studi dokumen dan diperkuat dengan data yang diperoleh dari kegiatan observasi yang berkelanjutan, kemudian dianalisis dengan memanfaatkan model Miles dan Huberman. Studi ini mengajukan kesimpulan bahwa sebagaimana pesantren NU lain, Pesantren Musthafawiyah mengembangkan prinsip-prinsip &lt;em&gt;al-mu&lt;span style=\"text-decoration: underline;\"&gt;h&lt;/span&gt;âfazhah ‘ala qadîm al-shâli&lt;span style=\"text-decoration: underline;\"&gt;h&lt;/span&gt; wa al-akhzu bi al-jadîd al-ashlâ&lt;span style=\"text-decoration: underline;\"&gt;h&lt;/span&gt;, tawâzun, ta‘âdul, &lt;/em&gt;dan &lt;em&gt;tasâmu&lt;span style=\"text-decoration: underline;\"&gt;h&lt;/span&gt; &lt;/em&gt;dimana seluruh prinsip tersebut menjadi nilai-nilai dasar yang diterapkan dalam pembelajaran. Tentu saja, studi ini memperkuat kesimpulan sejumlah peneliti bahwa pesantren mengusung paham Islam moderat dan menolak radikalisme dalam beragama dan bernegara.&lt;br /&gt;&lt;br /&gt;&lt;strong&gt;Abstract: &lt;/strong&gt;&lt;strong&gt;Reaffirming &lt;em&gt;Nusantara Islam&lt;/em&gt;: Nahdlatul Ulama and the Educational Philosophy of Pesantren&lt;em&gt; &lt;/em&gt;Musthafawiyah.&lt;/strong&gt; This study analyzes the educational philosophy of Pesantren Musthafawiyah, a theme that has not been properly studies by former researchers. This &lt;em&gt;pesantren&lt;/em&gt; is affiliated with Nahdlatul Ulama; as a matter of fact, its founder, Sheikh Mustafa Husein, is also the founder of NU in North Sumatra. This study data was obtained through document reviews and strengthened with prolonged observation activities, then analyzed using the Miles and Huberman data analysis models. This study concludes that as with other NU &lt;em&gt;pesantren&lt;/em&gt;&lt;em&gt;s&lt;/em&gt;, Musthafawiyah develops the principles of &lt;em&gt;al-mu&lt;span style=\"text-decoration: underline;\"&gt;h&lt;/span&gt;âfazhah ‘ala qadîm al-shâli&lt;span style=\"text-decoration: underline;\"&gt;h&lt;/span&gt; wa al-akhzu bi al-jadîd al-ashlâ&lt;span style=\"text-decoration: underline;\"&gt;h&lt;/span&gt;, tawâzun, ta‘âdul,&lt;/em&gt;&lt;em&gt; &lt;/em&gt;and&lt;em&gt; tasâmuh&lt;/em&gt;, the principles of which have become the basic values that are applied in teaching and learning process. Of course, this study reinforces the conclusions of a number of researchers that Islamic boarding schools uphold a moderate understanding of Islam and reject radicalism in religion and state.&lt;br /&gt;&lt;br /&gt;&lt;strong&gt;Kata Kun…","author":[{"dropping-particle":"","family":"Salamuddin","given":"Salamuddin","non-dropping-particle":"","parse-names":false,"suffix":""}],"container-title":"Journal of Contemporary Islam and Muslim Societies","id":"ITEM-1","issue":"1","issued":{"date-parts":[["2019","3","14"]]},"page":"36","publisher":"MIQOT Jurnal Ilmu ilmu Keislaman","title":"MENEGUHKAN ISLAM NUSANTARA: Nahdlatul Ulama dan Falsafah Pendidikan Pesantren Musthafawiyah","type":"article-journal","volume":"3"},"uris":["http://www.mendeley.com/documents/?uuid=72d65980-2f33-34a1-9ea2-fe03e61c0ea6"]}],"mendeley":{"formattedCitation":"Salamuddin, “MENEGUHKAN ISLAM NUSANTARA: Nahdlatul Ulama Dan Falsafah Pendidikan Pesantren Musthafawiyah.”","plainTextFormattedCitation":"Salamuddin, “MENEGUHKAN ISLAM NUSANTARA: Nahdlatul Ulama Dan Falsafah Pendidikan Pesantren Musthafawiyah.”","previouslyFormattedCitation":"Salamuddin, “MENEGUHKAN ISLAM NUSANTARA: Nahdlatul Ulama Dan Falsafah Pendidikan Pesantren Musthafawiyah.”"},"properties":{"noteIndex":12},"schema":"https://github.com/citation-style-language/schema/raw/master/csl-citation.json"}</w:instrText>
      </w:r>
      <w:r>
        <w:fldChar w:fldCharType="separate"/>
      </w:r>
      <w:r w:rsidRPr="007C2B17">
        <w:rPr>
          <w:noProof/>
        </w:rPr>
        <w:t>Salamuddin, “MENEGUHKAN ISLAM NUSANTARA: Nahdlatul Ulama Dan Falsafah Pendidikan Pesantren Musthafawiyah.”</w:t>
      </w:r>
      <w:r>
        <w:fldChar w:fldCharType="end"/>
      </w:r>
    </w:p>
  </w:footnote>
  <w:footnote w:id="13">
    <w:p w14:paraId="328F18FF" w14:textId="1F8A0712" w:rsidR="007C2B17" w:rsidRDefault="007C2B17" w:rsidP="007C2B17">
      <w:pPr>
        <w:pStyle w:val="FootnoteText"/>
      </w:pPr>
      <w:r>
        <w:rPr>
          <w:rStyle w:val="FootnoteReference"/>
        </w:rPr>
        <w:footnoteRef/>
      </w:r>
      <w:r>
        <w:t xml:space="preserve"> </w:t>
      </w:r>
      <w:r>
        <w:fldChar w:fldCharType="begin" w:fldLock="1"/>
      </w:r>
      <w:r>
        <w:instrText>ADDIN CSL_CITATION {"citationItems":[{"id":"ITEM-1","itemData":{"DOI":"10.20885/millah.vol16.iss2.art3","ISSN":"14120992","abstract":"Based on the pattern of relational dialectics, the relationship between Religion, Hu- manism and the Orientation of Nation should be understood as a single entity wich mutually reinforcing in achieving the ideal life of civil society. Indonesia as a country that recognizes the diversity of religion, language, ethnicity and culture has positioned the Pancasila as ideology of the state can not be contested legitimacy. NU as an social religious organization be aware of the Indonesian nation must be guarded sovereignty also dignity. Islam Nusantara as a religious idea of nationality strives to instill religion awareness in the state and nation. Its one important task is to unravel the roots of the conflict through awareness of ethics; ranging from Tyranny of the Majority issue to Human Rights issues in the application of the death penalty in Indonesian context. Therefore, this article head to examine the transformative process of religious values into a form of consciousness nationality oriented towards the sovereign and the dignity state.","author":[{"dropping-particle":"","family":"A. Prihantoro","given":"Hijrian","non-dropping-particle":"","parse-names":false,"suffix":""}],"container-title":"Millah","id":"ITEM-1","issue":"2","issued":{"date-parts":[["2017"]]},"page":"203-234","title":"Islam Nusantara Dan Filsafat Orientasi Bangsa; Dialektika Modernitas Beragama Dalam Negara Berbudaya","type":"article-journal","volume":"16"},"uris":["http://www.mendeley.com/documents/?uuid=364eb86a-d4c6-48f6-b1c9-ecbdde8021e2"]}],"mendeley":{"formattedCitation":"Hijrian A. Prihantoro, “Islam Nusantara Dan Filsafat Orientasi Bangsa; Dialektika Modernitas Beragama Dalam Negara Berbudaya,” &lt;i&gt;Millah&lt;/i&gt; 16, no. 2 (2017): 203–234.","plainTextFormattedCitation":"Hijrian A. Prihantoro, “Islam Nusantara Dan Filsafat Orientasi Bangsa; Dialektika Modernitas Beragama Dalam Negara Berbudaya,” Millah 16, no. 2 (2017): 203–234.","previouslyFormattedCitation":"Hijrian A. Prihantoro, “Islam Nusantara Dan Filsafat Orientasi Bangsa; Dialektika Modernitas Beragama Dalam Negara Berbudaya,” &lt;i&gt;Millah&lt;/i&gt; 16, no. 2 (2017): 203–234."},"properties":{"noteIndex":13},"schema":"https://github.com/citation-style-language/schema/raw/master/csl-citation.json"}</w:instrText>
      </w:r>
      <w:r>
        <w:fldChar w:fldCharType="separate"/>
      </w:r>
      <w:r w:rsidRPr="007C2B17">
        <w:rPr>
          <w:noProof/>
        </w:rPr>
        <w:t xml:space="preserve">Hijrian A. Prihantoro, “Islam Nusantara Dan Filsafat Orientasi Bangsa; Dialektika Modernitas Beragama Dalam Negara Berbudaya,” </w:t>
      </w:r>
      <w:r w:rsidRPr="007C2B17">
        <w:rPr>
          <w:i/>
          <w:noProof/>
        </w:rPr>
        <w:t>Millah</w:t>
      </w:r>
      <w:r w:rsidRPr="007C2B17">
        <w:rPr>
          <w:noProof/>
        </w:rPr>
        <w:t xml:space="preserve"> 16, no. 2 (2017): 203–234.</w:t>
      </w:r>
      <w:r>
        <w:fldChar w:fldCharType="end"/>
      </w:r>
    </w:p>
  </w:footnote>
  <w:footnote w:id="14">
    <w:p w14:paraId="6E2E801E" w14:textId="033499ED" w:rsidR="007C2B17" w:rsidRDefault="007C2B17" w:rsidP="007C2B17">
      <w:pPr>
        <w:pStyle w:val="FootnoteText"/>
      </w:pPr>
      <w:r>
        <w:rPr>
          <w:rStyle w:val="FootnoteReference"/>
        </w:rPr>
        <w:footnoteRef/>
      </w:r>
      <w:r>
        <w:t xml:space="preserve"> </w:t>
      </w:r>
      <w:r>
        <w:fldChar w:fldCharType="begin" w:fldLock="1"/>
      </w:r>
      <w:r>
        <w:instrText>ADDIN CSL_CITATION {"citationItems":[{"id":"ITEM-1","itemData":{"DOI":"10.35897/maqashid.v2i2.366","ISSN":"2685-4619","abstract":"This paper reveals the methodological element (usul fiqh) of the “NU fiqh school”, especially those formulated and applied in Bahtsul Masail, and which qualified to be called an institution or ideology-based school of law (madhhab). Using normative, historical and philosophical approach simultaneously, this paper suggests that usul fiqh is not at all monolithic. Throughout its history, this discipline has evolved and changed in such a way, giving rise to various variants or paradigms. One of them is NU usul fiqh, an distinctive Islamic jurisprudance which is influenced by local context and logic of thinking inherited from generation to generation by NU scholars.","author":[{"dropping-particle":"","family":"Adib","given":"Muhammad","non-dropping-particle":"","parse-names":false,"suffix":""}],"container-title":"MAQASHID Jurnal Hukum Islam","id":"ITEM-1","issue":"2","issued":{"date-parts":[["2019"]]},"page":"42-57","title":"Usul Fikih Nu: Elemen Metodologis Mazhab Fikih Nu","type":"article-journal","volume":"2"},"uris":["http://www.mendeley.com/documents/?uuid=43a44bed-e2b0-4a22-98bd-5730a1ee09ef"]}],"mendeley":{"formattedCitation":"Muhammad Adib, “Usul Fikih Nu: Elemen Metodologis Mazhab Fikih Nu,” &lt;i&gt;MAQASHID Jurnal Hukum Islam&lt;/i&gt; 2, no. 2 (2019): 42–57.","plainTextFormattedCitation":"Muhammad Adib, “Usul Fikih Nu: Elemen Metodologis Mazhab Fikih Nu,” MAQASHID Jurnal Hukum Islam 2, no. 2 (2019): 42–57.","previouslyFormattedCitation":"Muhammad Adib, “Usul Fikih Nu: Elemen Metodologis Mazhab Fikih Nu,” &lt;i&gt;MAQASHID Jurnal Hukum Islam&lt;/i&gt; 2, no. 2 (2019): 42–57."},"properties":{"noteIndex":14},"schema":"https://github.com/citation-style-language/schema/raw/master/csl-citation.json"}</w:instrText>
      </w:r>
      <w:r>
        <w:fldChar w:fldCharType="separate"/>
      </w:r>
      <w:r w:rsidRPr="007C2B17">
        <w:rPr>
          <w:noProof/>
        </w:rPr>
        <w:t xml:space="preserve">Muhammad Adib, “Usul Fikih Nu: Elemen Metodologis Mazhab Fikih Nu,” </w:t>
      </w:r>
      <w:r w:rsidRPr="007C2B17">
        <w:rPr>
          <w:i/>
          <w:noProof/>
        </w:rPr>
        <w:t>MAQASHID Jurnal Hukum Islam</w:t>
      </w:r>
      <w:r w:rsidRPr="007C2B17">
        <w:rPr>
          <w:noProof/>
        </w:rPr>
        <w:t xml:space="preserve"> 2, no. 2 (2019): 42–57.</w:t>
      </w:r>
      <w:r>
        <w:fldChar w:fldCharType="end"/>
      </w:r>
    </w:p>
  </w:footnote>
  <w:footnote w:id="15">
    <w:p w14:paraId="1AD4BAB9" w14:textId="73B6A91C" w:rsidR="007C2B17" w:rsidRDefault="007C2B17">
      <w:pPr>
        <w:pStyle w:val="FootnoteText"/>
      </w:pPr>
      <w:r>
        <w:rPr>
          <w:rStyle w:val="FootnoteReference"/>
        </w:rPr>
        <w:footnoteRef/>
      </w:r>
      <w:r>
        <w:t xml:space="preserve"> </w:t>
      </w:r>
      <w:r>
        <w:fldChar w:fldCharType="begin" w:fldLock="1"/>
      </w:r>
      <w:r>
        <w:instrText>ADDIN CSL_CITATION {"citationItems":[{"id":"ITEM-1","itemData":{"DOI":"10.20885/millah.vol16.iss2.art3","ISSN":"14120992","abstract":"Based on the pattern of relational dialectics, the relationship between Religion, Hu- manism and the Orientation of Nation should be understood as a single entity wich mutually reinforcing in achieving the ideal life of civil society. Indonesia as a country that recognizes the diversity of religion, language, ethnicity and culture has positioned the Pancasila as ideology of the state can not be contested legitimacy. NU as an social religious organization be aware of the Indonesian nation must be guarded sovereignty also dignity. Islam Nusantara as a religious idea of nationality strives to instill religion awareness in the state and nation. Its one important task is to unravel the roots of the conflict through awareness of ethics; ranging from Tyranny of the Majority issue to Human Rights issues in the application of the death penalty in Indonesian context. Therefore, this article head to examine the transformative process of religious values into a form of consciousness nationality oriented towards the sovereign and the dignity state.","author":[{"dropping-particle":"","family":"A. Prihantoro","given":"Hijrian","non-dropping-particle":"","parse-names":false,"suffix":""}],"container-title":"Millah","id":"ITEM-1","issue":"2","issued":{"date-parts":[["2017"]]},"page":"203-234","title":"Islam Nusantara Dan Filsafat Orientasi Bangsa; Dialektika Modernitas Beragama Dalam Negara Berbudaya","type":"article-journal","volume":"16"},"uris":["http://www.mendeley.com/documents/?uuid=364eb86a-d4c6-48f6-b1c9-ecbdde8021e2"]}],"mendeley":{"formattedCitation":"A. Prihantoro, “Islam Nusantara Dan Filsafat Orientasi Bangsa; Dialektika Modernitas Beragama Dalam Negara Berbudaya.”","plainTextFormattedCitation":"A. Prihantoro, “Islam Nusantara Dan Filsafat Orientasi Bangsa; Dialektika Modernitas Beragama Dalam Negara Berbudaya.”","previouslyFormattedCitation":"A. Prihantoro, “Islam Nusantara Dan Filsafat Orientasi Bangsa; Dialektika Modernitas Beragama Dalam Negara Berbudaya.”"},"properties":{"noteIndex":15},"schema":"https://github.com/citation-style-language/schema/raw/master/csl-citation.json"}</w:instrText>
      </w:r>
      <w:r>
        <w:fldChar w:fldCharType="separate"/>
      </w:r>
      <w:r w:rsidRPr="007C2B17">
        <w:rPr>
          <w:noProof/>
        </w:rPr>
        <w:t>A. Prihantoro, “Islam Nusantara Dan Filsafat Orientasi Bangsa; Dialektika Modernitas Beragama Dalam Negara Berbudaya.”</w:t>
      </w:r>
      <w:r>
        <w:fldChar w:fldCharType="end"/>
      </w:r>
    </w:p>
  </w:footnote>
  <w:footnote w:id="16">
    <w:p w14:paraId="39DF8877" w14:textId="6FFBCFA5" w:rsidR="007C2B17" w:rsidRDefault="007C2B17" w:rsidP="007C2B17">
      <w:pPr>
        <w:pStyle w:val="FootnoteText"/>
      </w:pPr>
      <w:r>
        <w:rPr>
          <w:rStyle w:val="FootnoteReference"/>
        </w:rPr>
        <w:footnoteRef/>
      </w:r>
      <w:r>
        <w:t xml:space="preserve"> </w:t>
      </w:r>
      <w:r>
        <w:fldChar w:fldCharType="begin" w:fldLock="1"/>
      </w:r>
      <w:r>
        <w:instrText>ADDIN CSL_CITATION {"citationItems":[{"id":"ITEM-1","itemData":{"DOI":"10.22146/jf.41131","ISSN":"2528-6811","abstract":"Tulisan ini mengajukan tesis bahwa GNPF-Ulama bukan menjadi kekuatan tunggal dalam mewakili aspirasi politik umat Muslim di Indonesia hari ini, sebagaimana unit analisis mainstream ketika mendiskusikan fenomena populisme Islam di Indonesia. Terdapat Nahdlatul Ulama (NU) yang memainkan peran penting dalam upaya menantang dan bahkan ingin merebut kembali wacana populisme Islam dari GNPF-Ulama. Upaya NU untuk meneguhkan diri sebagai kekuatan politik Islam tidak lepas dari kebangkitan gerakan Bela Islam yang telah mereduksi pengaruh NU sebagai organisasi Islam yang dominan di Indonesia. Seturut dengan hal tersebut, analisis wacana dalam rangka memobilisasi kesadaran umat Islam di Indonesia guna mendapatkan legitimasi penting untuk dikemukakan, baik sebagai kerangka teori maupun metodelogi, selain kajian tentang populisme dan populisme Islam. Di sisi lain, populisme berbasis identitas keagamaan Islam kerap dipahami sebagai salah satu model populisme yang berlawanan dengan kekuatan populisme berbasis nasionalisme. Padahal, upaya menyatukan ide nasionalisme dan Islam telah menjadi narasi agenda populisme bagi NU guna melawan narasi wacana GNPF-Ulama. Terlepas dari perbedaan ideologi keagamaan, perbincangan tentang populisme Islam di Indonesia tidak terlepas dari persoalan pertarungan wacana yang terjadi di dalam internal kekuatan kelompok Islam itu sendiri. Pada akhirnya, tulisan ini menawarkan sebuah pembacaan terhadap fenomena populisme di Indonesia dalam prespektif diskursif","author":[{"dropping-particle":"","family":"Jayanto","given":"Dian Dwi","non-dropping-particle":"","parse-names":false,"suffix":""}],"container-title":"Mempertimbangkan Fenomena Populisme Islam di Indonesia dalam Perspektif Pertarungan Diskursif: Kontestasi Wacana Politik Antara Gerakan Nasional Pengawal Fatwa Ulama (GNPF-Ulama) dan Nahdlatul Ulama (NU)","id":"ITEM-1","issue":"1","issued":{"date-parts":[["2019"]]},"page":"1-25","title":"Mempertimbangkan Fenomena Populisme Islam di Indonesia dalam Perspektif Pertarungan Diskursif: Kontestasi Wacana Politik Antara Gerakan Nasional Pengawal Fatwa Ulama (GNPF-Ulama) dan Nahdlatul Ulama (NU)","type":"article-journal","volume":"29"},"uris":["http://www.mendeley.com/documents/?uuid=b116dbec-cf19-4498-ba5a-0f23afcb22c8"]}],"mendeley":{"formattedCitation":"Dian Dwi Jayanto, “Mempertimbangkan Fenomena Populisme Islam Di Indonesia Dalam Perspektif Pertarungan Diskursif: Kontestasi Wacana Politik Antara Gerakan Nasional Pengawal Fatwa Ulama (GNPF-Ulama) Dan Nahdlatul Ulama (NU),” &lt;i&gt;Mempertimbangkan Fenomena Populisme Islam di Indonesia dalam Perspektif Pertarungan Diskursif: Kontestasi Wacana Politik Antara Gerakan Nasional Pengawal Fatwa Ulama (GNPF-Ulama) dan Nahdlatul Ulama (NU)&lt;/i&gt; 29, no. 1 (2019): 1–25.","plainTextFormattedCitation":"Dian Dwi Jayanto, “Mempertimbangkan Fenomena Populisme Islam Di Indonesia Dalam Perspektif Pertarungan Diskursif: Kontestasi Wacana Politik Antara Gerakan Nasional Pengawal Fatwa Ulama (GNPF-Ulama) Dan Nahdlatul Ulama (NU),” Mempertimbangkan Fenomena Populisme Islam di Indonesia dalam Perspektif Pertarungan Diskursif: Kontestasi Wacana Politik Antara Gerakan Nasional Pengawal Fatwa Ulama (GNPF-Ulama) dan Nahdlatul Ulama (NU) 29, no. 1 (2019): 1–25.","previouslyFormattedCitation":"Dian Dwi Jayanto, “Mempertimbangkan Fenomena Populisme Islam Di Indonesia Dalam Perspektif Pertarungan Diskursif: Kontestasi Wacana Politik Antara Gerakan Nasional Pengawal Fatwa Ulama (GNPF-Ulama) Dan Nahdlatul Ulama (NU),” &lt;i&gt;Mempertimbangkan Fenomena Populisme Islam di Indonesia dalam Perspektif Pertarungan Diskursif: Kontestasi Wacana Politik Antara Gerakan Nasional Pengawal Fatwa Ulama (GNPF-Ulama) dan Nahdlatul Ulama (NU)&lt;/i&gt; 29, no. 1 (2019): 1–25."},"properties":{"noteIndex":16},"schema":"https://github.com/citation-style-language/schema/raw/master/csl-citation.json"}</w:instrText>
      </w:r>
      <w:r>
        <w:fldChar w:fldCharType="separate"/>
      </w:r>
      <w:r w:rsidRPr="007C2B17">
        <w:rPr>
          <w:noProof/>
        </w:rPr>
        <w:t xml:space="preserve">Dian Dwi Jayanto, “Mempertimbangkan Fenomena Populisme Islam Di Indonesia Dalam Perspektif Pertarungan Diskursif: Kontestasi Wacana Politik Antara Gerakan Nasional Pengawal Fatwa Ulama (GNPF-Ulama) Dan Nahdlatul Ulama (NU),” </w:t>
      </w:r>
      <w:r w:rsidRPr="007C2B17">
        <w:rPr>
          <w:i/>
          <w:noProof/>
        </w:rPr>
        <w:t>Mempertimbangkan Fenomena Populisme Islam di Indonesia dalam Perspektif Pertarungan Diskursif: Kontestasi Wacana Politik Antara Gerakan Nasional Pengawal Fatwa Ulama (GNPF-Ulama) dan Nahdlatul Ulama (NU)</w:t>
      </w:r>
      <w:r w:rsidRPr="007C2B17">
        <w:rPr>
          <w:noProof/>
        </w:rPr>
        <w:t xml:space="preserve"> 29, no. 1 (2019): 1–25.</w:t>
      </w:r>
      <w:r>
        <w:fldChar w:fldCharType="end"/>
      </w:r>
    </w:p>
  </w:footnote>
  <w:footnote w:id="17">
    <w:p w14:paraId="7A59D86C" w14:textId="18DB839A" w:rsidR="007C2B17" w:rsidRDefault="007C2B17">
      <w:pPr>
        <w:pStyle w:val="FootnoteText"/>
      </w:pPr>
      <w:r>
        <w:rPr>
          <w:rStyle w:val="FootnoteReference"/>
        </w:rPr>
        <w:footnoteRef/>
      </w:r>
      <w:r>
        <w:t xml:space="preserve"> </w:t>
      </w:r>
      <w:r>
        <w:fldChar w:fldCharType="begin" w:fldLock="1"/>
      </w:r>
      <w:r w:rsidR="005D7CD1">
        <w:instrText>ADDIN CSL_CITATION {"citationItems":[{"id":"ITEM-1","itemData":{"DOI":"10.20885/millah.vol16.iss2.art3","ISSN":"14120992","abstract":"Based on the pattern of relational dialectics, the relationship between Religion, Hu- manism and the Orientation of Nation should be understood as a single entity wich mutually reinforcing in achieving the ideal life of civil society. Indonesia as a country that recognizes the diversity of religion, language, ethnicity and culture has positioned the Pancasila as ideology of the state can not be contested legitimacy. NU as an social religious organization be aware of the Indonesian nation must be guarded sovereignty also dignity. Islam Nusantara as a religious idea of nationality strives to instill religion awareness in the state and nation. Its one important task is to unravel the roots of the conflict through awareness of ethics; ranging from Tyranny of the Majority issue to Human Rights issues in the application of the death penalty in Indonesian context. Therefore, this article head to examine the transformative process of religious values into a form of consciousness nationality oriented towards the sovereign and the dignity state.","author":[{"dropping-particle":"","family":"A. Prihantoro","given":"Hijrian","non-dropping-particle":"","parse-names":false,"suffix":""}],"container-title":"Millah","id":"ITEM-1","issue":"2","issued":{"date-parts":[["2017"]]},"page":"203-234","title":"Islam Nusantara Dan Filsafat Orientasi Bangsa; Dialektika Modernitas Beragama Dalam Negara Berbudaya","type":"article-journal","volume":"16"},"uris":["http://www.mendeley.com/documents/?uuid=364eb86a-d4c6-48f6-b1c9-ecbdde8021e2"]}],"mendeley":{"formattedCitation":"A. Prihantoro, “Islam Nusantara Dan Filsafat Orientasi Bangsa; Dialektika Modernitas Beragama Dalam Negara Berbudaya.”","plainTextFormattedCitation":"A. Prihantoro, “Islam Nusantara Dan Filsafat Orientasi Bangsa; Dialektika Modernitas Beragama Dalam Negara Berbudaya.”","previouslyFormattedCitation":"A. Prihantoro, “Islam Nusantara Dan Filsafat Orientasi Bangsa; Dialektika Modernitas Beragama Dalam Negara Berbudaya.”"},"properties":{"noteIndex":17},"schema":"https://github.com/citation-style-language/schema/raw/master/csl-citation.json"}</w:instrText>
      </w:r>
      <w:r>
        <w:fldChar w:fldCharType="separate"/>
      </w:r>
      <w:r w:rsidRPr="007C2B17">
        <w:rPr>
          <w:noProof/>
        </w:rPr>
        <w:t>A. Prihantoro, “Islam Nusantara Dan Filsafat Orientasi Bangsa; Dialektika Modernitas Beragama Dalam Negara Berbudaya.”</w:t>
      </w:r>
      <w:r>
        <w:fldChar w:fldCharType="end"/>
      </w:r>
    </w:p>
  </w:footnote>
  <w:footnote w:id="18">
    <w:p w14:paraId="1A21F0BB" w14:textId="2A3A6D97" w:rsidR="005D7CD1" w:rsidRDefault="005D7CD1">
      <w:pPr>
        <w:pStyle w:val="FootnoteText"/>
      </w:pPr>
      <w:r>
        <w:rPr>
          <w:rStyle w:val="FootnoteReference"/>
        </w:rPr>
        <w:footnoteRef/>
      </w:r>
      <w:r>
        <w:t xml:space="preserve"> </w:t>
      </w:r>
      <w:r>
        <w:fldChar w:fldCharType="begin" w:fldLock="1"/>
      </w:r>
      <w:r>
        <w:instrText>ADDIN CSL_CITATION {"citationItems":[{"id":"ITEM-1","itemData":{"abstract":"… Dari kajian yang dilakukan terungkap ada beberapa tradisi yang dilakukan warga NU, … , ziarah kubur, tahlilan, dan tawassul. Tradisi-tradisi tersebut dilakukan warga NU sebagai bentuk …","author":[{"dropping-particle":"","family":"Hidayatullah","given":"Syarif","non-dropping-particle":"","parse-names":false,"suffix":""}],"id":"ITEM-1","issued":{"date-parts":[["2014"]]},"title":"Tinjauan Filosofis Terhadap Tradisi Nu: Sebuah Upaya Eksplorasi Filsafat Nusantara","type":"article-journal"},"uris":["http://www.mendeley.com/documents/?uuid=0e94e253-d5db-4a8d-a2dc-4640d7e6b460"]}],"mendeley":{"formattedCitation":"Syarif Hidayatullah, “Tinjauan Filosofis Terhadap Tradisi Nu: Sebuah Upaya Eksplorasi Filsafat Nusantara” (2014).","plainTextFormattedCitation":"Syarif Hidayatullah, “Tinjauan Filosofis Terhadap Tradisi Nu: Sebuah Upaya Eksplorasi Filsafat Nusantara” (2014).","previouslyFormattedCitation":"Syarif Hidayatullah, “Tinjauan Filosofis Terhadap Tradisi Nu: Sebuah Upaya Eksplorasi Filsafat Nusantara” (2014)."},"properties":{"noteIndex":18},"schema":"https://github.com/citation-style-language/schema/raw/master/csl-citation.json"}</w:instrText>
      </w:r>
      <w:r>
        <w:fldChar w:fldCharType="separate"/>
      </w:r>
      <w:r w:rsidRPr="005D7CD1">
        <w:rPr>
          <w:noProof/>
        </w:rPr>
        <w:t>Syarif Hidayatullah, “Tinjauan Filosofis Terhadap Tradisi Nu: Sebuah Upaya Eksplorasi Filsafat Nusantara” (2014).</w:t>
      </w:r>
      <w:r>
        <w:fldChar w:fldCharType="end"/>
      </w:r>
    </w:p>
  </w:footnote>
  <w:footnote w:id="19">
    <w:p w14:paraId="0B30A8D3" w14:textId="36F830A0" w:rsidR="005D7CD1" w:rsidRDefault="005D7CD1">
      <w:pPr>
        <w:pStyle w:val="FootnoteText"/>
      </w:pPr>
      <w:r>
        <w:rPr>
          <w:rStyle w:val="FootnoteReference"/>
        </w:rPr>
        <w:footnoteRef/>
      </w:r>
      <w:r>
        <w:t xml:space="preserve"> </w:t>
      </w:r>
      <w:r>
        <w:fldChar w:fldCharType="begin" w:fldLock="1"/>
      </w:r>
      <w:r>
        <w:instrText>ADDIN CSL_CITATION {"citationItems":[{"id":"ITEM-1","itemData":{"DOI":"10.22515/shahih.v1i1.53","ISSN":"2527-8118","abstract":"The objective of this article is to explore the concept ofÂ Islam NusantaraÂ (IN)Â observed from the structural theory of Islam and local culture relation, along with the reason why INÂ is developed into the concept of the Islamic proselytizingÂ Rahmatan lilalaminÂ by the intellectualÂ Nahdhatul UlamaÂ (NU). It comes from the NU Intellectuals claim that IN is the mediator in the controversy of Islam and local culture relation, moreover in the global scale it is going to be proselytized in the International, whereas the IN is still regarded as an issue and has not fulfilled the knowledge standard yet. Through philosophical approach, socio-anthropolinguistics based on the data inÂ www.nu.or.idÂ and topic analysis as its data analysis, it is found that the intellectualÂ of NUÂ used eight approaches to concept the IN.Â TheÂ INÂ set that Islam influences Indonesian culture and the INs success and ability to dialogue with Indonesian culture trigger the intellectual NU to promote it to the International.","author":[{"dropping-particle":"","family":"Luthfi","given":"Khabibi Muhammad","non-dropping-particle":"","parse-names":false,"suffix":""}],"container-title":"SHAHIH: Journal of Islamicate Multidisciplinary","id":"ITEM-1","issue":"1","issued":{"date-parts":[["2016"]]},"page":"1-12","title":"Islam Nusantara: Relasi Islam dan Budaya Lokal","type":"article-journal","volume":"1"},"uris":["http://www.mendeley.com/documents/?uuid=99e72e3b-a20a-4f97-9744-65659a20b3f6"]}],"mendeley":{"formattedCitation":"Luthfi, “Islam Nusantara: Relasi Islam Dan Budaya Lokal.”","plainTextFormattedCitation":"Luthfi, “Islam Nusantara: Relasi Islam Dan Budaya Lokal.”","previouslyFormattedCitation":"Luthfi, “Islam Nusantara: Relasi Islam Dan Budaya Lokal.”"},"properties":{"noteIndex":19},"schema":"https://github.com/citation-style-language/schema/raw/master/csl-citation.json"}</w:instrText>
      </w:r>
      <w:r>
        <w:fldChar w:fldCharType="separate"/>
      </w:r>
      <w:r w:rsidRPr="005D7CD1">
        <w:rPr>
          <w:noProof/>
        </w:rPr>
        <w:t>Luthfi, “Islam Nusantara: Relasi Islam Dan Budaya Lokal.”</w:t>
      </w:r>
      <w:r>
        <w:fldChar w:fldCharType="end"/>
      </w:r>
    </w:p>
  </w:footnote>
  <w:footnote w:id="20">
    <w:p w14:paraId="7A7B4334" w14:textId="19224469" w:rsidR="005D7CD1" w:rsidRDefault="005D7CD1">
      <w:pPr>
        <w:pStyle w:val="FootnoteText"/>
      </w:pPr>
      <w:r>
        <w:rPr>
          <w:rStyle w:val="FootnoteReference"/>
        </w:rPr>
        <w:footnoteRef/>
      </w:r>
      <w:r>
        <w:t xml:space="preserve"> </w:t>
      </w:r>
      <w:r>
        <w:fldChar w:fldCharType="begin" w:fldLock="1"/>
      </w:r>
      <w:r>
        <w:instrText>ADDIN CSL_CITATION {"citationItems":[{"id":"ITEM-1","itemData":{"DOI":"10.22515/shahih.v1i1.53","ISSN":"2527-8118","abstract":"The objective of this article is to explore the concept ofÂ Islam NusantaraÂ (IN)Â observed from the structural theory of Islam and local culture relation, along with the reason why INÂ is developed into the concept of the Islamic proselytizingÂ Rahmatan lilalaminÂ by the intellectualÂ Nahdhatul UlamaÂ (NU). It comes from the NU Intellectuals claim that IN is the mediator in the controversy of Islam and local culture relation, moreover in the global scale it is going to be proselytized in the International, whereas the IN is still regarded as an issue and has not fulfilled the knowledge standard yet. Through philosophical approach, socio-anthropolinguistics based on the data inÂ www.nu.or.idÂ and topic analysis as its data analysis, it is found that the intellectualÂ of NUÂ used eight approaches to concept the IN.Â TheÂ INÂ set that Islam influences Indonesian culture and the INs success and ability to dialogue with Indonesian culture trigger the intellectual NU to promote it to the International.","author":[{"dropping-particle":"","family":"Luthfi","given":"Khabibi Muhammad","non-dropping-particle":"","parse-names":false,"suffix":""}],"container-title":"SHAHIH: Journal of Islamicate Multidisciplinary","id":"ITEM-1","issue":"1","issued":{"date-parts":[["2016"]]},"page":"1-12","title":"Islam Nusantara: Relasi Islam dan Budaya Lokal","type":"article-journal","volume":"1"},"uris":["http://www.mendeley.com/documents/?uuid=99e72e3b-a20a-4f97-9744-65659a20b3f6"]}],"mendeley":{"formattedCitation":"Luthfi, “Islam Nusantara: Relasi Islam Dan Budaya Lokal.”","plainTextFormattedCitation":"Luthfi, “Islam Nusantara: Relasi Islam Dan Budaya Lokal.”","previouslyFormattedCitation":"Luthfi, “Islam Nusantara: Relasi Islam Dan Budaya Lokal.”"},"properties":{"noteIndex":20},"schema":"https://github.com/citation-style-language/schema/raw/master/csl-citation.json"}</w:instrText>
      </w:r>
      <w:r>
        <w:fldChar w:fldCharType="separate"/>
      </w:r>
      <w:r w:rsidRPr="005D7CD1">
        <w:rPr>
          <w:noProof/>
        </w:rPr>
        <w:t>Luthfi, “Islam Nusantara: Relasi Islam Dan Budaya Lokal.”</w:t>
      </w:r>
      <w:r>
        <w:fldChar w:fldCharType="end"/>
      </w:r>
    </w:p>
  </w:footnote>
  <w:footnote w:id="21">
    <w:p w14:paraId="64329C40" w14:textId="7E599159" w:rsidR="005D7CD1" w:rsidRDefault="005D7CD1">
      <w:pPr>
        <w:pStyle w:val="FootnoteText"/>
      </w:pPr>
      <w:r>
        <w:rPr>
          <w:rStyle w:val="FootnoteReference"/>
        </w:rPr>
        <w:footnoteRef/>
      </w:r>
      <w:r>
        <w:t xml:space="preserve"> </w:t>
      </w:r>
      <w:r>
        <w:fldChar w:fldCharType="begin" w:fldLock="1"/>
      </w:r>
      <w:r>
        <w:instrText>ADDIN CSL_CITATION {"citationItems":[{"id":"ITEM-1","itemData":{"abstract":"… Dari kajian yang dilakukan terungkap ada beberapa tradisi yang dilakukan warga NU, … , ziarah kubur, tahlilan, dan tawassul. Tradisi-tradisi tersebut dilakukan warga NU sebagai bentuk …","author":[{"dropping-particle":"","family":"Hidayatullah","given":"Syarif","non-dropping-particle":"","parse-names":false,"suffix":""}],"id":"ITEM-1","issued":{"date-parts":[["2014"]]},"title":"Tinjauan Filosofis Terhadap Tradisi Nu: Sebuah Upaya Eksplorasi Filsafat Nusantara","type":"article-journal"},"uris":["http://www.mendeley.com/documents/?uuid=0e94e253-d5db-4a8d-a2dc-4640d7e6b460"]}],"mendeley":{"formattedCitation":"Hidayatullah, “Tinjauan Filosofis Terhadap Tradisi Nu: Sebuah Upaya Eksplorasi Filsafat Nusantara.”","plainTextFormattedCitation":"Hidayatullah, “Tinjauan Filosofis Terhadap Tradisi Nu: Sebuah Upaya Eksplorasi Filsafat Nusantara.”","previouslyFormattedCitation":"Hidayatullah, “Tinjauan Filosofis Terhadap Tradisi Nu: Sebuah Upaya Eksplorasi Filsafat Nusantara.”"},"properties":{"noteIndex":21},"schema":"https://github.com/citation-style-language/schema/raw/master/csl-citation.json"}</w:instrText>
      </w:r>
      <w:r>
        <w:fldChar w:fldCharType="separate"/>
      </w:r>
      <w:r w:rsidRPr="005D7CD1">
        <w:rPr>
          <w:noProof/>
        </w:rPr>
        <w:t>Hidayatullah, “Tinjauan Filosofis Terhadap Tradisi Nu: Sebuah Upaya Eksplorasi Filsafat Nusantara.”</w:t>
      </w:r>
      <w:r>
        <w:fldChar w:fldCharType="end"/>
      </w:r>
    </w:p>
  </w:footnote>
  <w:footnote w:id="22">
    <w:p w14:paraId="001037CD" w14:textId="02662A86" w:rsidR="005D7CD1" w:rsidRDefault="005D7CD1">
      <w:pPr>
        <w:pStyle w:val="FootnoteText"/>
      </w:pPr>
      <w:r>
        <w:rPr>
          <w:rStyle w:val="FootnoteReference"/>
        </w:rPr>
        <w:footnoteRef/>
      </w:r>
      <w:r>
        <w:t xml:space="preserve"> </w:t>
      </w:r>
      <w:r>
        <w:fldChar w:fldCharType="begin" w:fldLock="1"/>
      </w:r>
      <w:r>
        <w:instrText>ADDIN CSL_CITATION {"citationItems":[{"id":"ITEM-1","itemData":{"DOI":"10.35897/maqashid.v2i2.366","ISSN":"2685-4619","abstract":"This paper reveals the methodological element (usul fiqh) of the “NU fiqh school”, especially those formulated and applied in Bahtsul Masail, and which qualified to be called an institution or ideology-based school of law (madhhab). Using normative, historical and philosophical approach simultaneously, this paper suggests that usul fiqh is not at all monolithic. Throughout its history, this discipline has evolved and changed in such a way, giving rise to various variants or paradigms. One of them is NU usul fiqh, an distinctive Islamic jurisprudance which is influenced by local context and logic of thinking inherited from generation to generation by NU scholars.","author":[{"dropping-particle":"","family":"Adib","given":"Muhammad","non-dropping-particle":"","parse-names":false,"suffix":""}],"container-title":"MAQASHID Jurnal Hukum Islam","id":"ITEM-1","issue":"2","issued":{"date-parts":[["2019"]]},"page":"42-57","title":"Usul Fikih Nu: Elemen Metodologis Mazhab Fikih Nu","type":"article-journal","volume":"2"},"uris":["http://www.mendeley.com/documents/?uuid=43a44bed-e2b0-4a22-98bd-5730a1ee09ef"]}],"mendeley":{"formattedCitation":"Adib, “Usul Fikih Nu: Elemen Metodologis Mazhab Fikih Nu.”","plainTextFormattedCitation":"Adib, “Usul Fikih Nu: Elemen Metodologis Mazhab Fikih Nu.”","previouslyFormattedCitation":"Adib, “Usul Fikih Nu: Elemen Metodologis Mazhab Fikih Nu.”"},"properties":{"noteIndex":22},"schema":"https://github.com/citation-style-language/schema/raw/master/csl-citation.json"}</w:instrText>
      </w:r>
      <w:r>
        <w:fldChar w:fldCharType="separate"/>
      </w:r>
      <w:r w:rsidRPr="005D7CD1">
        <w:rPr>
          <w:noProof/>
        </w:rPr>
        <w:t>Adib, “Usul Fikih Nu: Elemen Metodologis Mazhab Fikih Nu.”</w:t>
      </w:r>
      <w:r>
        <w:fldChar w:fldCharType="end"/>
      </w:r>
    </w:p>
  </w:footnote>
  <w:footnote w:id="23">
    <w:p w14:paraId="71E83CC6" w14:textId="53A92682" w:rsidR="005D7CD1" w:rsidRDefault="005D7CD1">
      <w:pPr>
        <w:pStyle w:val="FootnoteText"/>
      </w:pPr>
      <w:r>
        <w:rPr>
          <w:rStyle w:val="FootnoteReference"/>
        </w:rPr>
        <w:footnoteRef/>
      </w:r>
      <w:r>
        <w:t xml:space="preserve"> </w:t>
      </w:r>
      <w:r>
        <w:fldChar w:fldCharType="begin" w:fldLock="1"/>
      </w:r>
      <w:r>
        <w:instrText>ADDIN CSL_CITATION {"citationItems":[{"id":"ITEM-1","itemData":{"DOI":"10.22146/jf.41131","ISSN":"2528-6811","abstract":"Tulisan ini mengajukan tesis bahwa GNPF-Ulama bukan menjadi kekuatan tunggal dalam mewakili aspirasi politik umat Muslim di Indonesia hari ini, sebagaimana unit analisis mainstream ketika mendiskusikan fenomena populisme Islam di Indonesia. Terdapat Nahdlatul Ulama (NU) yang memainkan peran penting dalam upaya menantang dan bahkan ingin merebut kembali wacana populisme Islam dari GNPF-Ulama. Upaya NU untuk meneguhkan diri sebagai kekuatan politik Islam tidak lepas dari kebangkitan gerakan Bela Islam yang telah mereduksi pengaruh NU sebagai organisasi Islam yang dominan di Indonesia. Seturut dengan hal tersebut, analisis wacana dalam rangka memobilisasi kesadaran umat Islam di Indonesia guna mendapatkan legitimasi penting untuk dikemukakan, baik sebagai kerangka teori maupun metodelogi, selain kajian tentang populisme dan populisme Islam. Di sisi lain, populisme berbasis identitas keagamaan Islam kerap dipahami sebagai salah satu model populisme yang berlawanan dengan kekuatan populisme berbasis nasionalisme. Padahal, upaya menyatukan ide nasionalisme dan Islam telah menjadi narasi agenda populisme bagi NU guna melawan narasi wacana GNPF-Ulama. Terlepas dari perbedaan ideologi keagamaan, perbincangan tentang populisme Islam di Indonesia tidak terlepas dari persoalan pertarungan wacana yang terjadi di dalam internal kekuatan kelompok Islam itu sendiri. Pada akhirnya, tulisan ini menawarkan sebuah pembacaan terhadap fenomena populisme di Indonesia dalam prespektif diskursif","author":[{"dropping-particle":"","family":"Jayanto","given":"Dian Dwi","non-dropping-particle":"","parse-names":false,"suffix":""}],"container-title":"Mempertimbangkan Fenomena Populisme Islam di Indonesia dalam Perspektif Pertarungan Diskursif: Kontestasi Wacana Politik Antara Gerakan Nasional Pengawal Fatwa Ulama (GNPF-Ulama) dan Nahdlatul Ulama (NU)","id":"ITEM-1","issue":"1","issued":{"date-parts":[["2019"]]},"page":"1-25","title":"Mempertimbangkan Fenomena Populisme Islam di Indonesia dalam Perspektif Pertarungan Diskursif: Kontestasi Wacana Politik Antara Gerakan Nasional Pengawal Fatwa Ulama (GNPF-Ulama) dan Nahdlatul Ulama (NU)","type":"article-journal","volume":"29"},"uris":["http://www.mendeley.com/documents/?uuid=b116dbec-cf19-4498-ba5a-0f23afcb22c8"]}],"mendeley":{"formattedCitation":"Jayanto, “Mempertimbangkan Fenom. Popul. Islam Di Indones. Dalam Perspekt. Pertarungan Diskurs. Kontestasi Wacana Polit. Antara Gerak. Nas. Pengawal Fatwa Ulama Dan Nahdlatul Ulama.”","plainTextFormattedCitation":"Jayanto, “Mempertimbangkan Fenom. Popul. Islam Di Indones. Dalam Perspekt. Pertarungan Diskurs. Kontestasi Wacana Polit. Antara Gerak. Nas. Pengawal Fatwa Ulama Dan Nahdlatul Ulama.”","previouslyFormattedCitation":"Jayanto, “Mempertimbangkan Fenom. Popul. Islam Di Indones. Dalam Perspekt. Pertarungan Diskurs. Kontestasi Wacana Polit. Antara Gerak. Nas. Pengawal Fatwa Ulama Dan Nahdlatul Ulama.”"},"properties":{"noteIndex":23},"schema":"https://github.com/citation-style-language/schema/raw/master/csl-citation.json"}</w:instrText>
      </w:r>
      <w:r>
        <w:fldChar w:fldCharType="separate"/>
      </w:r>
      <w:r w:rsidRPr="005D7CD1">
        <w:rPr>
          <w:noProof/>
        </w:rPr>
        <w:t>Jayanto, “Mempertimbangkan Fenom. Popul. Islam Di Indones. Dalam Perspekt. Pertarungan Diskurs. Kontestasi Wacana Polit. Antara Gerak. Nas. Pengawal Fatwa Ulama Dan Nahdlatul Ulama.”</w:t>
      </w:r>
      <w:r>
        <w:fldChar w:fldCharType="end"/>
      </w:r>
    </w:p>
  </w:footnote>
  <w:footnote w:id="24">
    <w:p w14:paraId="4B95924D" w14:textId="6EC6B973" w:rsidR="005D7CD1" w:rsidRDefault="005D7CD1">
      <w:pPr>
        <w:pStyle w:val="FootnoteText"/>
      </w:pPr>
      <w:r>
        <w:rPr>
          <w:rStyle w:val="FootnoteReference"/>
        </w:rPr>
        <w:footnoteRef/>
      </w:r>
      <w:r>
        <w:t xml:space="preserve"> </w:t>
      </w:r>
      <w:r>
        <w:fldChar w:fldCharType="begin" w:fldLock="1"/>
      </w:r>
      <w:r>
        <w:instrText>ADDIN CSL_CITATION {"citationItems":[{"id":"ITEM-1","itemData":{"DOI":"10.20885/millah.vol16.iss2.art3","ISSN":"14120992","abstract":"Based on the pattern of relational dialectics, the relationship between Religion, Hu- manism and the Orientation of Nation should be understood as a single entity wich mutually reinforcing in achieving the ideal life of civil society. Indonesia as a country that recognizes the diversity of religion, language, ethnicity and culture has positioned the Pancasila as ideology of the state can not be contested legitimacy. NU as an social religious organization be aware of the Indonesian nation must be guarded sovereignty also dignity. Islam Nusantara as a religious idea of nationality strives to instill religion awareness in the state and nation. Its one important task is to unravel the roots of the conflict through awareness of ethics; ranging from Tyranny of the Majority issue to Human Rights issues in the application of the death penalty in Indonesian context. Therefore, this article head to examine the transformative process of religious values into a form of consciousness nationality oriented towards the sovereign and the dignity state.","author":[{"dropping-particle":"","family":"A. Prihantoro","given":"Hijrian","non-dropping-particle":"","parse-names":false,"suffix":""}],"container-title":"Millah","id":"ITEM-1","issue":"2","issued":{"date-parts":[["2017"]]},"page":"203-234","title":"Islam Nusantara Dan Filsafat Orientasi Bangsa; Dialektika Modernitas Beragama Dalam Negara Berbudaya","type":"article-journal","volume":"16"},"uris":["http://www.mendeley.com/documents/?uuid=364eb86a-d4c6-48f6-b1c9-ecbdde8021e2"]}],"mendeley":{"formattedCitation":"A. Prihantoro, “Islam Nusantara Dan Filsafat Orientasi Bangsa; Dialektika Modernitas Beragama Dalam Negara Berbudaya.”","plainTextFormattedCitation":"A. Prihantoro, “Islam Nusantara Dan Filsafat Orientasi Bangsa; Dialektika Modernitas Beragama Dalam Negara Berbudaya.”","previouslyFormattedCitation":"A. Prihantoro, “Islam Nusantara Dan Filsafat Orientasi Bangsa; Dialektika Modernitas Beragama Dalam Negara Berbudaya.”"},"properties":{"noteIndex":24},"schema":"https://github.com/citation-style-language/schema/raw/master/csl-citation.json"}</w:instrText>
      </w:r>
      <w:r>
        <w:fldChar w:fldCharType="separate"/>
      </w:r>
      <w:r w:rsidRPr="005D7CD1">
        <w:rPr>
          <w:noProof/>
        </w:rPr>
        <w:t>A. Prihantoro, “Islam Nusantara Dan Filsafat Orientasi Bangsa; Dialektika Modernitas Beragama Dalam Negara Berbudaya.”</w:t>
      </w:r>
      <w:r>
        <w:fldChar w:fldCharType="end"/>
      </w:r>
    </w:p>
  </w:footnote>
  <w:footnote w:id="25">
    <w:p w14:paraId="5D01EAAC" w14:textId="794E4AD7" w:rsidR="005D7CD1" w:rsidRDefault="005D7CD1">
      <w:pPr>
        <w:pStyle w:val="FootnoteText"/>
      </w:pPr>
      <w:r>
        <w:rPr>
          <w:rStyle w:val="FootnoteReference"/>
        </w:rPr>
        <w:footnoteRef/>
      </w:r>
      <w:r>
        <w:t xml:space="preserve"> </w:t>
      </w:r>
      <w:r>
        <w:fldChar w:fldCharType="begin" w:fldLock="1"/>
      </w:r>
      <w:r>
        <w:instrText>ADDIN CSL_CITATION {"citationItems":[{"id":"ITEM-1","itemData":{"DOI":"10.35897/maqashid.v2i2.366","ISSN":"2685-4619","abstract":"This paper reveals the methodological element (usul fiqh) of the “NU fiqh school”, especially those formulated and applied in Bahtsul Masail, and which qualified to be called an institution or ideology-based school of law (madhhab). Using normative, historical and philosophical approach simultaneously, this paper suggests that usul fiqh is not at all monolithic. Throughout its history, this discipline has evolved and changed in such a way, giving rise to various variants or paradigms. One of them is NU usul fiqh, an distinctive Islamic jurisprudance which is influenced by local context and logic of thinking inherited from generation to generation by NU scholars.","author":[{"dropping-particle":"","family":"Adib","given":"Muhammad","non-dropping-particle":"","parse-names":false,"suffix":""}],"container-title":"MAQASHID Jurnal Hukum Islam","id":"ITEM-1","issue":"2","issued":{"date-parts":[["2019"]]},"page":"42-57","title":"Usul Fikih Nu: Elemen Metodologis Mazhab Fikih Nu","type":"article-journal","volume":"2"},"uris":["http://www.mendeley.com/documents/?uuid=43a44bed-e2b0-4a22-98bd-5730a1ee09ef"]}],"mendeley":{"formattedCitation":"Adib, “Usul Fikih Nu: Elemen Metodologis Mazhab Fikih Nu.”","plainTextFormattedCitation":"Adib, “Usul Fikih Nu: Elemen Metodologis Mazhab Fikih Nu.”","previouslyFormattedCitation":"Adib, “Usul Fikih Nu: Elemen Metodologis Mazhab Fikih Nu.”"},"properties":{"noteIndex":25},"schema":"https://github.com/citation-style-language/schema/raw/master/csl-citation.json"}</w:instrText>
      </w:r>
      <w:r>
        <w:fldChar w:fldCharType="separate"/>
      </w:r>
      <w:r w:rsidRPr="005D7CD1">
        <w:rPr>
          <w:noProof/>
        </w:rPr>
        <w:t>Adib, “Usul Fikih Nu: Elemen Metodologis Mazhab Fikih Nu.”</w:t>
      </w:r>
      <w:r>
        <w:fldChar w:fldCharType="end"/>
      </w:r>
    </w:p>
  </w:footnote>
  <w:footnote w:id="26">
    <w:p w14:paraId="70C8E32A" w14:textId="49E4600C" w:rsidR="005D7CD1" w:rsidRDefault="005D7CD1">
      <w:pPr>
        <w:pStyle w:val="FootnoteText"/>
      </w:pPr>
      <w:r>
        <w:rPr>
          <w:rStyle w:val="FootnoteReference"/>
        </w:rPr>
        <w:footnoteRef/>
      </w:r>
      <w:r>
        <w:t xml:space="preserve"> </w:t>
      </w:r>
      <w:r>
        <w:fldChar w:fldCharType="begin" w:fldLock="1"/>
      </w:r>
      <w:r>
        <w:instrText>ADDIN CSL_CITATION {"citationItems":[{"id":"ITEM-1","itemData":{"DOI":"10.22146/jf.41131","ISSN":"2528-6811","abstract":"Tulisan ini mengajukan tesis bahwa GNPF-Ulama bukan menjadi kekuatan tunggal dalam mewakili aspirasi politik umat Muslim di Indonesia hari ini, sebagaimana unit analisis mainstream ketika mendiskusikan fenomena populisme Islam di Indonesia. Terdapat Nahdlatul Ulama (NU) yang memainkan peran penting dalam upaya menantang dan bahkan ingin merebut kembali wacana populisme Islam dari GNPF-Ulama. Upaya NU untuk meneguhkan diri sebagai kekuatan politik Islam tidak lepas dari kebangkitan gerakan Bela Islam yang telah mereduksi pengaruh NU sebagai organisasi Islam yang dominan di Indonesia. Seturut dengan hal tersebut, analisis wacana dalam rangka memobilisasi kesadaran umat Islam di Indonesia guna mendapatkan legitimasi penting untuk dikemukakan, baik sebagai kerangka teori maupun metodelogi, selain kajian tentang populisme dan populisme Islam. Di sisi lain, populisme berbasis identitas keagamaan Islam kerap dipahami sebagai salah satu model populisme yang berlawanan dengan kekuatan populisme berbasis nasionalisme. Padahal, upaya menyatukan ide nasionalisme dan Islam telah menjadi narasi agenda populisme bagi NU guna melawan narasi wacana GNPF-Ulama. Terlepas dari perbedaan ideologi keagamaan, perbincangan tentang populisme Islam di Indonesia tidak terlepas dari persoalan pertarungan wacana yang terjadi di dalam internal kekuatan kelompok Islam itu sendiri. Pada akhirnya, tulisan ini menawarkan sebuah pembacaan terhadap fenomena populisme di Indonesia dalam prespektif diskursif","author":[{"dropping-particle":"","family":"Jayanto","given":"Dian Dwi","non-dropping-particle":"","parse-names":false,"suffix":""}],"container-title":"Mempertimbangkan Fenomena Populisme Islam di Indonesia dalam Perspektif Pertarungan Diskursif: Kontestasi Wacana Politik Antara Gerakan Nasional Pengawal Fatwa Ulama (GNPF-Ulama) dan Nahdlatul Ulama (NU)","id":"ITEM-1","issue":"1","issued":{"date-parts":[["2019"]]},"page":"1-25","title":"Mempertimbangkan Fenomena Populisme Islam di Indonesia dalam Perspektif Pertarungan Diskursif: Kontestasi Wacana Politik Antara Gerakan Nasional Pengawal Fatwa Ulama (GNPF-Ulama) dan Nahdlatul Ulama (NU)","type":"article-journal","volume":"29"},"uris":["http://www.mendeley.com/documents/?uuid=b116dbec-cf19-4498-ba5a-0f23afcb22c8"]}],"mendeley":{"formattedCitation":"Jayanto, “Mempertimbangkan Fenom. Popul. Islam Di Indones. Dalam Perspekt. Pertarungan Diskurs. Kontestasi Wacana Polit. Antara Gerak. Nas. Pengawal Fatwa Ulama Dan Nahdlatul Ulama.”","plainTextFormattedCitation":"Jayanto, “Mempertimbangkan Fenom. Popul. Islam Di Indones. Dalam Perspekt. Pertarungan Diskurs. Kontestasi Wacana Polit. Antara Gerak. Nas. Pengawal Fatwa Ulama Dan Nahdlatul Ulama.”","previouslyFormattedCitation":"Jayanto, “Mempertimbangkan Fenom. Popul. Islam Di Indones. Dalam Perspekt. Pertarungan Diskurs. Kontestasi Wacana Polit. Antara Gerak. Nas. Pengawal Fatwa Ulama Dan Nahdlatul Ulama.”"},"properties":{"noteIndex":26},"schema":"https://github.com/citation-style-language/schema/raw/master/csl-citation.json"}</w:instrText>
      </w:r>
      <w:r>
        <w:fldChar w:fldCharType="separate"/>
      </w:r>
      <w:r w:rsidRPr="005D7CD1">
        <w:rPr>
          <w:noProof/>
        </w:rPr>
        <w:t>Jayanto, “Mempertimbangkan Fenom. Popul. Islam Di Indones. Dalam Perspekt. Pertarungan Diskurs. Kontestasi Wacana Polit. Antara Gerak. Nas. Pengawal Fatwa Ulama Dan Nahdlatul Ulama.”</w:t>
      </w:r>
      <w:r>
        <w:fldChar w:fldCharType="end"/>
      </w:r>
    </w:p>
  </w:footnote>
  <w:footnote w:id="27">
    <w:p w14:paraId="1248E611" w14:textId="37EB7575" w:rsidR="005D7CD1" w:rsidRDefault="005D7CD1">
      <w:pPr>
        <w:pStyle w:val="FootnoteText"/>
      </w:pPr>
      <w:r>
        <w:rPr>
          <w:rStyle w:val="FootnoteReference"/>
        </w:rPr>
        <w:footnoteRef/>
      </w:r>
      <w:r>
        <w:t xml:space="preserve"> </w:t>
      </w:r>
      <w:r>
        <w:fldChar w:fldCharType="begin" w:fldLock="1"/>
      </w:r>
      <w:r>
        <w:instrText>ADDIN CSL_CITATION {"citationItems":[{"id":"ITEM-1","itemData":{"DOI":"10.35897/maqashid.v2i2.366","ISSN":"2685-4619","abstract":"This paper reveals the methodological element (usul fiqh) of the “NU fiqh school”, especially those formulated and applied in Bahtsul Masail, and which qualified to be called an institution or ideology-based school of law (madhhab). Using normative, historical and philosophical approach simultaneously, this paper suggests that usul fiqh is not at all monolithic. Throughout its history, this discipline has evolved and changed in such a way, giving rise to various variants or paradigms. One of them is NU usul fiqh, an distinctive Islamic jurisprudance which is influenced by local context and logic of thinking inherited from generation to generation by NU scholars.","author":[{"dropping-particle":"","family":"Adib","given":"Muhammad","non-dropping-particle":"","parse-names":false,"suffix":""}],"container-title":"MAQASHID Jurnal Hukum Islam","id":"ITEM-1","issue":"2","issued":{"date-parts":[["2019"]]},"page":"42-57","title":"Usul Fikih Nu: Elemen Metodologis Mazhab Fikih Nu","type":"article-journal","volume":"2"},"uris":["http://www.mendeley.com/documents/?uuid=43a44bed-e2b0-4a22-98bd-5730a1ee09ef"]}],"mendeley":{"formattedCitation":"Adib, “Usul Fikih Nu: Elemen Metodologis Mazhab Fikih Nu.”","plainTextFormattedCitation":"Adib, “Usul Fikih Nu: Elemen Metodologis Mazhab Fikih Nu.”","previouslyFormattedCitation":"Adib, “Usul Fikih Nu: Elemen Metodologis Mazhab Fikih Nu.”"},"properties":{"noteIndex":27},"schema":"https://github.com/citation-style-language/schema/raw/master/csl-citation.json"}</w:instrText>
      </w:r>
      <w:r>
        <w:fldChar w:fldCharType="separate"/>
      </w:r>
      <w:r w:rsidRPr="005D7CD1">
        <w:rPr>
          <w:noProof/>
        </w:rPr>
        <w:t>Adib, “Usul Fikih Nu: Elemen Metodologis Mazhab Fikih Nu.”</w:t>
      </w:r>
      <w:r>
        <w:fldChar w:fldCharType="end"/>
      </w:r>
    </w:p>
  </w:footnote>
  <w:footnote w:id="28">
    <w:p w14:paraId="46E02AA2" w14:textId="56DC7D20" w:rsidR="005D7CD1" w:rsidRDefault="005D7CD1">
      <w:pPr>
        <w:pStyle w:val="FootnoteText"/>
      </w:pPr>
      <w:r>
        <w:rPr>
          <w:rStyle w:val="FootnoteReference"/>
        </w:rPr>
        <w:footnoteRef/>
      </w:r>
      <w:r>
        <w:t xml:space="preserve"> </w:t>
      </w:r>
      <w:r>
        <w:fldChar w:fldCharType="begin" w:fldLock="1"/>
      </w:r>
      <w:r>
        <w:instrText>ADDIN CSL_CITATION {"citationItems":[{"id":"ITEM-1","itemData":{"DOI":"10.35897/maqashid.v2i2.366","ISSN":"2685-4619","abstract":"This paper reveals the methodological element (usul fiqh) of the “NU fiqh school”, especially those formulated and applied in Bahtsul Masail, and which qualified to be called an institution or ideology-based school of law (madhhab). Using normative, historical and philosophical approach simultaneously, this paper suggests that usul fiqh is not at all monolithic. Throughout its history, this discipline has evolved and changed in such a way, giving rise to various variants or paradigms. One of them is NU usul fiqh, an distinctive Islamic jurisprudance which is influenced by local context and logic of thinking inherited from generation to generation by NU scholars.","author":[{"dropping-particle":"","family":"Adib","given":"Muhammad","non-dropping-particle":"","parse-names":false,"suffix":""}],"container-title":"MAQASHID Jurnal Hukum Islam","id":"ITEM-1","issue":"2","issued":{"date-parts":[["2019"]]},"page":"42-57","title":"Usul Fikih Nu: Elemen Metodologis Mazhab Fikih Nu","type":"article-journal","volume":"2"},"uris":["http://www.mendeley.com/documents/?uuid=43a44bed-e2b0-4a22-98bd-5730a1ee09ef"]}],"mendeley":{"formattedCitation":"Adib, “Usul Fikih Nu: Elemen Metodologis Mazhab Fikih Nu.”","plainTextFormattedCitation":"Adib, “Usul Fikih Nu: Elemen Metodologis Mazhab Fikih Nu.”","previouslyFormattedCitation":"Adib, “Usul Fikih Nu: Elemen Metodologis Mazhab Fikih Nu.”"},"properties":{"noteIndex":28},"schema":"https://github.com/citation-style-language/schema/raw/master/csl-citation.json"}</w:instrText>
      </w:r>
      <w:r>
        <w:fldChar w:fldCharType="separate"/>
      </w:r>
      <w:r w:rsidRPr="005D7CD1">
        <w:rPr>
          <w:noProof/>
        </w:rPr>
        <w:t>Adib, “Usul Fikih Nu: Elemen Metodologis Mazhab Fikih Nu.”</w:t>
      </w:r>
      <w:r>
        <w:fldChar w:fldCharType="end"/>
      </w:r>
    </w:p>
  </w:footnote>
  <w:footnote w:id="29">
    <w:p w14:paraId="1DFCA2CA" w14:textId="56D79E2B" w:rsidR="005D7CD1" w:rsidRDefault="005D7CD1">
      <w:pPr>
        <w:pStyle w:val="FootnoteText"/>
      </w:pPr>
      <w:r>
        <w:rPr>
          <w:rStyle w:val="FootnoteReference"/>
        </w:rPr>
        <w:footnoteRef/>
      </w:r>
      <w:r>
        <w:t xml:space="preserve"> </w:t>
      </w:r>
      <w:r>
        <w:fldChar w:fldCharType="begin" w:fldLock="1"/>
      </w:r>
      <w:r>
        <w:instrText>ADDIN CSL_CITATION {"citationItems":[{"id":"ITEM-1","itemData":{"DOI":"10.20885/millah.vol16.iss2.art3","ISSN":"14120992","abstract":"Based on the pattern of relational dialectics, the relationship between Religion, Hu- manism and the Orientation of Nation should be understood as a single entity wich mutually reinforcing in achieving the ideal life of civil society. Indonesia as a country that recognizes the diversity of religion, language, ethnicity and culture has positioned the Pancasila as ideology of the state can not be contested legitimacy. NU as an social religious organization be aware of the Indonesian nation must be guarded sovereignty also dignity. Islam Nusantara as a religious idea of nationality strives to instill religion awareness in the state and nation. Its one important task is to unravel the roots of the conflict through awareness of ethics; ranging from Tyranny of the Majority issue to Human Rights issues in the application of the death penalty in Indonesian context. Therefore, this article head to examine the transformative process of religious values into a form of consciousness nationality oriented towards the sovereign and the dignity state.","author":[{"dropping-particle":"","family":"A. Prihantoro","given":"Hijrian","non-dropping-particle":"","parse-names":false,"suffix":""}],"container-title":"Millah","id":"ITEM-1","issue":"2","issued":{"date-parts":[["2017"]]},"page":"203-234","title":"Islam Nusantara Dan Filsafat Orientasi Bangsa; Dialektika Modernitas Beragama Dalam Negara Berbudaya","type":"article-journal","volume":"16"},"uris":["http://www.mendeley.com/documents/?uuid=364eb86a-d4c6-48f6-b1c9-ecbdde8021e2"]}],"mendeley":{"formattedCitation":"A. Prihantoro, “Islam Nusantara Dan Filsafat Orientasi Bangsa; Dialektika Modernitas Beragama Dalam Negara Berbudaya.”","plainTextFormattedCitation":"A. Prihantoro, “Islam Nusantara Dan Filsafat Orientasi Bangsa; Dialektika Modernitas Beragama Dalam Negara Berbudaya.”","previouslyFormattedCitation":"A. Prihantoro, “Islam Nusantara Dan Filsafat Orientasi Bangsa; Dialektika Modernitas Beragama Dalam Negara Berbudaya.”"},"properties":{"noteIndex":29},"schema":"https://github.com/citation-style-language/schema/raw/master/csl-citation.json"}</w:instrText>
      </w:r>
      <w:r>
        <w:fldChar w:fldCharType="separate"/>
      </w:r>
      <w:r w:rsidRPr="005D7CD1">
        <w:rPr>
          <w:noProof/>
        </w:rPr>
        <w:t>A. Prihantoro, “Islam Nusantara Dan Filsafat Orientasi Bangsa; Dialektika Modernitas Beragama Dalam Negara Berbudaya.”</w:t>
      </w:r>
      <w:r>
        <w:fldChar w:fldCharType="end"/>
      </w:r>
    </w:p>
  </w:footnote>
  <w:footnote w:id="30">
    <w:p w14:paraId="0B41BA94" w14:textId="3EBD8FC7" w:rsidR="005D7CD1" w:rsidRDefault="005D7CD1">
      <w:pPr>
        <w:pStyle w:val="FootnoteText"/>
      </w:pPr>
      <w:r>
        <w:rPr>
          <w:rStyle w:val="FootnoteReference"/>
        </w:rPr>
        <w:footnoteRef/>
      </w:r>
      <w:r>
        <w:t xml:space="preserve"> </w:t>
      </w:r>
      <w:r>
        <w:fldChar w:fldCharType="begin" w:fldLock="1"/>
      </w:r>
      <w:r>
        <w:instrText>ADDIN CSL_CITATION {"citationItems":[{"id":"ITEM-1","itemData":{"abstract":"… Dari kajian yang dilakukan terungkap ada beberapa tradisi yang dilakukan warga NU, … , ziarah kubur, tahlilan, dan tawassul. Tradisi-tradisi tersebut dilakukan warga NU sebagai bentuk …","author":[{"dropping-particle":"","family":"Hidayatullah","given":"Syarif","non-dropping-particle":"","parse-names":false,"suffix":""}],"id":"ITEM-1","issued":{"date-parts":[["2014"]]},"title":"Tinjauan Filosofis Terhadap Tradisi Nu: Sebuah Upaya Eksplorasi Filsafat Nusantara","type":"article-journal"},"uris":["http://www.mendeley.com/documents/?uuid=0e94e253-d5db-4a8d-a2dc-4640d7e6b460"]}],"mendeley":{"formattedCitation":"Hidayatullah, “Tinjauan Filosofis Terhadap Tradisi Nu: Sebuah Upaya Eksplorasi Filsafat Nusantara.”","plainTextFormattedCitation":"Hidayatullah, “Tinjauan Filosofis Terhadap Tradisi Nu: Sebuah Upaya Eksplorasi Filsafat Nusantara.”","previouslyFormattedCitation":"Hidayatullah, “Tinjauan Filosofis Terhadap Tradisi Nu: Sebuah Upaya Eksplorasi Filsafat Nusantara.”"},"properties":{"noteIndex":30},"schema":"https://github.com/citation-style-language/schema/raw/master/csl-citation.json"}</w:instrText>
      </w:r>
      <w:r>
        <w:fldChar w:fldCharType="separate"/>
      </w:r>
      <w:r w:rsidRPr="005D7CD1">
        <w:rPr>
          <w:noProof/>
        </w:rPr>
        <w:t>Hidayatullah, “Tinjauan Filosofis Terhadap Tradisi Nu: Sebuah Upaya Eksplorasi Filsafat Nusantara.”</w:t>
      </w:r>
      <w:r>
        <w:fldChar w:fldCharType="end"/>
      </w:r>
    </w:p>
  </w:footnote>
  <w:footnote w:id="31">
    <w:p w14:paraId="60DFBB9F" w14:textId="17E4E7BB" w:rsidR="005D7CD1" w:rsidRDefault="005D7CD1">
      <w:pPr>
        <w:pStyle w:val="FootnoteText"/>
      </w:pPr>
      <w:r>
        <w:rPr>
          <w:rStyle w:val="FootnoteReference"/>
        </w:rPr>
        <w:footnoteRef/>
      </w:r>
      <w:r>
        <w:t xml:space="preserve"> </w:t>
      </w:r>
      <w:r>
        <w:fldChar w:fldCharType="begin" w:fldLock="1"/>
      </w:r>
      <w:r>
        <w:instrText>ADDIN CSL_CITATION {"citationItems":[{"id":"ITEM-1","itemData":{"ISBN":"9796051443","abstract":"… Kelemahan-kelemahan manajerial dan organisasi seringkali menghambat langkah politik NU sehingga … bab V selanjutnya diuraikan refleksi diri yang di- lakukan NU terhadap eksistensi politiknya … ini dijalani untuk kembali menjadi jam'iyah sebagai organisasi nonpolitik tahun …","author":[{"dropping-particle":"","family":"Haidar","given":"M. Ali","non-dropping-particle":"","parse-names":false,"suffix":""}],"container-title":"Ebp.Aaykpn.Ac.Id","id":"ITEM-1","issued":{"date-parts":[["1994"]]},"page":"1-357","title":"NAHDATUL ULAMA DAN ISLAM DI INDONESIA Pendekatan Fikih dalam Politik","type":"article-journal"},"uris":["http://www.mendeley.com/documents/?uuid=0b9344e2-ff01-4966-b33a-f454dd18cb95"]}],"mendeley":{"formattedCitation":"Haidar, “NAHDATUL ULAMA DAN ISLAM DI INDONESIA Pendekatan Fikih Dalam Politik.”","plainTextFormattedCitation":"Haidar, “NAHDATUL ULAMA DAN ISLAM DI INDONESIA Pendekatan Fikih Dalam Politik.”","previouslyFormattedCitation":"Haidar, “NAHDATUL ULAMA DAN ISLAM DI INDONESIA Pendekatan Fikih Dalam Politik.”"},"properties":{"noteIndex":31},"schema":"https://github.com/citation-style-language/schema/raw/master/csl-citation.json"}</w:instrText>
      </w:r>
      <w:r>
        <w:fldChar w:fldCharType="separate"/>
      </w:r>
      <w:r w:rsidRPr="005D7CD1">
        <w:rPr>
          <w:noProof/>
        </w:rPr>
        <w:t>Haidar, “NAHDATUL ULAMA DAN ISLAM DI INDONESIA Pendekatan Fikih Dalam Politik.”</w:t>
      </w:r>
      <w:r>
        <w:fldChar w:fldCharType="end"/>
      </w:r>
    </w:p>
  </w:footnote>
  <w:footnote w:id="32">
    <w:p w14:paraId="35B840F9" w14:textId="3ADAB521" w:rsidR="005D7CD1" w:rsidRDefault="005D7CD1">
      <w:pPr>
        <w:pStyle w:val="FootnoteText"/>
      </w:pPr>
      <w:r>
        <w:rPr>
          <w:rStyle w:val="FootnoteReference"/>
        </w:rPr>
        <w:footnoteRef/>
      </w:r>
      <w:r>
        <w:t xml:space="preserve"> </w:t>
      </w:r>
      <w:r>
        <w:fldChar w:fldCharType="begin" w:fldLock="1"/>
      </w:r>
      <w:r>
        <w:instrText>ADDIN CSL_CITATION {"citationItems":[{"id":"ITEM-1","itemData":{"abstract":"There were different orientation in the background and methods of ijthad between Bahtsul Masail Nahdlatul Ulama (NU) and Majelis Tarjih Muhammadiyah (The Muhammadiyah Legal Affairs Committee). The ijtihad orientation of Bahtsul Masail emphasizes on cultural approach to maintain the previous values that have been good, and take the new values better. This approach accepts local culture and wisdom as part of the past products that has no conflict with al-Qur'an and al-Hadith, or by changing the content of culture and local wisdom with Quranic and Sunnah content. This approach is different from the ijtihad orientation model developed by Majelis Tarjih Muhammadiyah called \"tajdid\". With this approach, Majelis Tarjih Muhammadiyah attempts to recover and purify Islam according to its original teachings. With its popular jargon \"Back","author":[{"dropping-particle":"","family":"Isa Anshori","given":"","non-dropping-particle":"","parse-names":false,"suffix":""}],"container-title":"Nizam","id":"ITEM-1","issue":"1","issued":{"date-parts":[["2014"]]},"page":"125-139","title":"Perbedaan Metode Ijtihad Nahdlatul Ulama dan Muhammadiyah dalam Corak Fikih di Indonesia","type":"article-journal","volume":"4"},"uris":["http://www.mendeley.com/documents/?uuid=fc80c3d1-93cb-45d0-8ef0-e9376f70bf35"]}],"mendeley":{"formattedCitation":"Isa Anshori, “Perbedaan Metode Ijtihad Nahdlatul Ulama Dan Muhammadiyah Dalam Corak Fikih Di Indonesia.”","plainTextFormattedCitation":"Isa Anshori, “Perbedaan Metode Ijtihad Nahdlatul Ulama Dan Muhammadiyah Dalam Corak Fikih Di Indonesia.”","previouslyFormattedCitation":"Isa Anshori, “Perbedaan Metode Ijtihad Nahdlatul Ulama Dan Muhammadiyah Dalam Corak Fikih Di Indonesia.”"},"properties":{"noteIndex":32},"schema":"https://github.com/citation-style-language/schema/raw/master/csl-citation.json"}</w:instrText>
      </w:r>
      <w:r>
        <w:fldChar w:fldCharType="separate"/>
      </w:r>
      <w:r w:rsidRPr="005D7CD1">
        <w:rPr>
          <w:noProof/>
        </w:rPr>
        <w:t>Isa Anshori, “Perbedaan Metode Ijtihad Nahdlatul Ulama Dan Muhammadiyah Dalam Corak Fikih Di Indonesia.”</w:t>
      </w:r>
      <w:r>
        <w:fldChar w:fldCharType="end"/>
      </w:r>
    </w:p>
  </w:footnote>
  <w:footnote w:id="33">
    <w:p w14:paraId="62049FED" w14:textId="0002F8A1" w:rsidR="005D7CD1" w:rsidRDefault="005D7CD1">
      <w:pPr>
        <w:pStyle w:val="FootnoteText"/>
      </w:pPr>
      <w:r>
        <w:rPr>
          <w:rStyle w:val="FootnoteReference"/>
        </w:rPr>
        <w:footnoteRef/>
      </w:r>
      <w:r>
        <w:t xml:space="preserve"> </w:t>
      </w:r>
      <w:r>
        <w:fldChar w:fldCharType="begin" w:fldLock="1"/>
      </w:r>
      <w:r>
        <w:instrText>ADDIN CSL_CITATION {"citationItems":[{"id":"ITEM-1","itemData":{"DOI":"10.20885/millah.vol16.iss2.art3","ISSN":"14120992","abstract":"Based on the pattern of relational dialectics, the relationship between Religion, Hu- manism and the Orientation of Nation should be understood as a single entity wich mutually reinforcing in achieving the ideal life of civil society. Indonesia as a country that recognizes the diversity of religion, language, ethnicity and culture has positioned the Pancasila as ideology of the state can not be contested legitimacy. NU as an social religious organization be aware of the Indonesian nation must be guarded sovereignty also dignity. Islam Nusantara as a religious idea of nationality strives to instill religion awareness in the state and nation. Its one important task is to unravel the roots of the conflict through awareness of ethics; ranging from Tyranny of the Majority issue to Human Rights issues in the application of the death penalty in Indonesian context. Therefore, this article head to examine the transformative process of religious values into a form of consciousness nationality oriented towards the sovereign and the dignity state.","author":[{"dropping-particle":"","family":"A. Prihantoro","given":"Hijrian","non-dropping-particle":"","parse-names":false,"suffix":""}],"container-title":"Millah","id":"ITEM-1","issue":"2","issued":{"date-parts":[["2017"]]},"page":"203-234","title":"Islam Nusantara Dan Filsafat Orientasi Bangsa; Dialektika Modernitas Beragama Dalam Negara Berbudaya","type":"article-journal","volume":"16"},"uris":["http://www.mendeley.com/documents/?uuid=364eb86a-d4c6-48f6-b1c9-ecbdde8021e2"]}],"mendeley":{"formattedCitation":"A. Prihantoro, “Islam Nusantara Dan Filsafat Orientasi Bangsa; Dialektika Modernitas Beragama Dalam Negara Berbudaya.”","plainTextFormattedCitation":"A. Prihantoro, “Islam Nusantara Dan Filsafat Orientasi Bangsa; Dialektika Modernitas Beragama Dalam Negara Berbudaya.”","previouslyFormattedCitation":"A. Prihantoro, “Islam Nusantara Dan Filsafat Orientasi Bangsa; Dialektika Modernitas Beragama Dalam Negara Berbudaya.”"},"properties":{"noteIndex":33},"schema":"https://github.com/citation-style-language/schema/raw/master/csl-citation.json"}</w:instrText>
      </w:r>
      <w:r>
        <w:fldChar w:fldCharType="separate"/>
      </w:r>
      <w:r w:rsidRPr="005D7CD1">
        <w:rPr>
          <w:noProof/>
        </w:rPr>
        <w:t>A. Prihantoro, “Islam Nusantara Dan Filsafat Orientasi Bangsa; Dialektika Modernitas Beragama Dalam Negara Berbudaya.”</w:t>
      </w:r>
      <w:r>
        <w:fldChar w:fldCharType="end"/>
      </w:r>
    </w:p>
  </w:footnote>
  <w:footnote w:id="34">
    <w:p w14:paraId="3BCAC5F7" w14:textId="3B7493D6" w:rsidR="005D7CD1" w:rsidRDefault="005D7CD1">
      <w:pPr>
        <w:pStyle w:val="FootnoteText"/>
      </w:pPr>
      <w:r>
        <w:rPr>
          <w:rStyle w:val="FootnoteReference"/>
        </w:rPr>
        <w:footnoteRef/>
      </w:r>
      <w:r>
        <w:t xml:space="preserve"> </w:t>
      </w:r>
      <w:r>
        <w:fldChar w:fldCharType="begin" w:fldLock="1"/>
      </w:r>
      <w:r>
        <w:instrText>ADDIN CSL_CITATION {"citationItems":[{"id":"ITEM-1","itemData":{"author":[{"dropping-particle":"","family":"Dari","given":"Ditinjau","non-dropping-particle":"","parse-names":false,"suffix":""},{"dropping-particle":"","family":"Bahasa","given":"Filsafat","non-dropping-particle":"","parse-names":false,"suffix":""},{"dropping-particle":"","family":"Ii","given":"Ludwig Wittgeinstein","non-dropping-particle":"","parse-names":false,"suffix":""},{"dropping-particle":"","family":"Aqidah","given":"Prodi","non-dropping-particle":"","parse-names":false,"suffix":""},{"dropping-particle":"","family":"Filsafat","given":"D A N","non-dropping-particle":"","parse-names":false,"suffix":""},{"dropping-particle":"","family":"Ushuluddin","given":"Fakultas","non-dropping-particle":"","parse-names":false,"suffix":""},{"dropping-particle":"","family":"Pemikiran","given":"D A N","non-dropping-particle":"","parse-names":false,"suffix":""},{"dropping-particle":"","family":"Islam","given":"Universitas","non-dropping-particle":"","parse-names":false,"suffix":""},{"dropping-particle":"","family":"Sunan","given":"Negri","non-dropping-particle":"","parse-names":false,"suffix":""}],"id":"ITEM-1","issued":{"date-parts":[["2020"]]},"title":"Yogyakarta 2020","type":"article-journal"},"uris":["http://www.mendeley.com/documents/?uuid=d470c4c8-0d7d-4485-af5f-1c284a0b96d7"]}],"mendeley":{"formattedCitation":"Ditinjau Dari et al., “Yogyakarta 2020” (2020).","plainTextFormattedCitation":"Ditinjau Dari et al., “Yogyakarta 2020” (2020).","previouslyFormattedCitation":"Ditinjau Dari et al., “Yogyakarta 2020” (2020)."},"properties":{"noteIndex":34},"schema":"https://github.com/citation-style-language/schema/raw/master/csl-citation.json"}</w:instrText>
      </w:r>
      <w:r>
        <w:fldChar w:fldCharType="separate"/>
      </w:r>
      <w:r w:rsidRPr="005D7CD1">
        <w:rPr>
          <w:noProof/>
        </w:rPr>
        <w:t>Ditinjau Dari et al., “Yogyakarta 2020” (2020).</w:t>
      </w:r>
      <w:r>
        <w:fldChar w:fldCharType="end"/>
      </w:r>
    </w:p>
  </w:footnote>
  <w:footnote w:id="35">
    <w:p w14:paraId="72D15265" w14:textId="19D54AD8" w:rsidR="005D7CD1" w:rsidRDefault="005D7CD1" w:rsidP="005D7CD1">
      <w:pPr>
        <w:pStyle w:val="FootnoteText"/>
      </w:pPr>
      <w:r>
        <w:rPr>
          <w:rStyle w:val="FootnoteReference"/>
        </w:rPr>
        <w:footnoteRef/>
      </w:r>
      <w:r>
        <w:t xml:space="preserve"> </w:t>
      </w:r>
      <w:r>
        <w:fldChar w:fldCharType="begin" w:fldLock="1"/>
      </w:r>
      <w:r>
        <w:instrText>ADDIN CSL_CITATION {"citationItems":[{"id":"ITEM-1","itemData":{"abstract":"Sesuai dengan amanat PBNU sebagaimana disampaikan sendiri oleh Rais Aam KH M. Sahal Mahfudz bahwa NU harus berbuat sesuatu saat menghadapi serangan PKI dan para …","author":[{"dropping-particle":"","family":"PBNU","given":"Tim","non-dropping-particle":"","parse-names":false,"suffix":""}],"container-title":"Benturan NU - PKI 1948-1965","id":"ITEM-1","issued":{"date-parts":[["2013"]]},"page":"176","title":"Benturan NU - PKI 1948-1965","type":"article-journal"},"uris":["http://www.mendeley.com/documents/?uuid=c1b8ea98-47cf-4517-8087-24ef2b251ed7"]}],"mendeley":{"formattedCitation":"Tim PBNU, “Benturan NU - PKI 1948-1965,” &lt;i&gt;Benturan NU - PKI 1948-1965&lt;/i&gt; (2013): 176.","plainTextFormattedCitation":"Tim PBNU, “Benturan NU - PKI 1948-1965,” Benturan NU - PKI 1948-1965 (2013): 176.","previouslyFormattedCitation":"Tim PBNU, “Benturan NU - PKI 1948-1965,” &lt;i&gt;Benturan NU - PKI 1948-1965&lt;/i&gt; (2013): 176."},"properties":{"noteIndex":35},"schema":"https://github.com/citation-style-language/schema/raw/master/csl-citation.json"}</w:instrText>
      </w:r>
      <w:r>
        <w:fldChar w:fldCharType="separate"/>
      </w:r>
      <w:r w:rsidRPr="005D7CD1">
        <w:rPr>
          <w:noProof/>
        </w:rPr>
        <w:t xml:space="preserve">Tim PBNU, “Benturan NU - PKI 1948-1965,” </w:t>
      </w:r>
      <w:r w:rsidRPr="005D7CD1">
        <w:rPr>
          <w:i/>
          <w:noProof/>
        </w:rPr>
        <w:t>Benturan NU - PKI 1948-1965</w:t>
      </w:r>
      <w:r w:rsidRPr="005D7CD1">
        <w:rPr>
          <w:noProof/>
        </w:rPr>
        <w:t xml:space="preserve"> (2013): 176.</w:t>
      </w:r>
      <w:r>
        <w:fldChar w:fldCharType="end"/>
      </w:r>
    </w:p>
  </w:footnote>
  <w:footnote w:id="36">
    <w:p w14:paraId="13524960" w14:textId="3BF985CB" w:rsidR="005D7CD1" w:rsidRDefault="005D7CD1">
      <w:pPr>
        <w:pStyle w:val="FootnoteText"/>
      </w:pPr>
      <w:r>
        <w:rPr>
          <w:rStyle w:val="FootnoteReference"/>
        </w:rPr>
        <w:footnoteRef/>
      </w:r>
      <w:r>
        <w:t xml:space="preserve"> </w:t>
      </w:r>
      <w:r>
        <w:fldChar w:fldCharType="begin" w:fldLock="1"/>
      </w:r>
      <w:r>
        <w:instrText>ADDIN CSL_CITATION {"citationItems":[{"id":"ITEM-1","itemData":{"author":[{"dropping-particle":"","family":"Dari","given":"Ditinjau","non-dropping-particle":"","parse-names":false,"suffix":""},{"dropping-particle":"","family":"Bahasa","given":"Filsafat","non-dropping-particle":"","parse-names":false,"suffix":""},{"dropping-particle":"","family":"Ii","given":"Ludwig Wittgeinstein","non-dropping-particle":"","parse-names":false,"suffix":""},{"dropping-particle":"","family":"Aqidah","given":"Prodi","non-dropping-particle":"","parse-names":false,"suffix":""},{"dropping-particle":"","family":"Filsafat","given":"D A N","non-dropping-particle":"","parse-names":false,"suffix":""},{"dropping-particle":"","family":"Ushuluddin","given":"Fakultas","non-dropping-particle":"","parse-names":false,"suffix":""},{"dropping-particle":"","family":"Pemikiran","given":"D A N","non-dropping-particle":"","parse-names":false,"suffix":""},{"dropping-particle":"","family":"Islam","given":"Universitas","non-dropping-particle":"","parse-names":false,"suffix":""},{"dropping-particle":"","family":"Sunan","given":"Negri","non-dropping-particle":"","parse-names":false,"suffix":""}],"id":"ITEM-1","issued":{"date-parts":[["2020"]]},"title":"Yogyakarta 2020","type":"article-journal"},"uris":["http://www.mendeley.com/documents/?uuid=d470c4c8-0d7d-4485-af5f-1c284a0b96d7"]}],"mendeley":{"formattedCitation":"Dari et al., “Yogyakarta 2020.”","plainTextFormattedCitation":"Dari et al., “Yogyakarta 2020.”","previouslyFormattedCitation":"Dari et al., “Yogyakarta 2020.”"},"properties":{"noteIndex":36},"schema":"https://github.com/citation-style-language/schema/raw/master/csl-citation.json"}</w:instrText>
      </w:r>
      <w:r>
        <w:fldChar w:fldCharType="separate"/>
      </w:r>
      <w:r w:rsidRPr="005D7CD1">
        <w:rPr>
          <w:noProof/>
        </w:rPr>
        <w:t>Dari et al., “Yogyakarta 2020.”</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2685" w14:textId="77777777" w:rsidR="003D0A1D" w:rsidRPr="005031C8" w:rsidRDefault="005031C8" w:rsidP="008074A5">
    <w:pPr>
      <w:pStyle w:val="Header"/>
      <w:rPr>
        <w:rFonts w:ascii="High Tower Text" w:hAnsi="High Tower Text"/>
        <w:sz w:val="22"/>
        <w:szCs w:val="22"/>
      </w:rPr>
    </w:pPr>
    <w:r w:rsidRPr="005031C8">
      <w:rPr>
        <w:rFonts w:ascii="High Tower Text" w:hAnsi="High Tower Text"/>
        <w:b/>
        <w:sz w:val="22"/>
        <w:szCs w:val="22"/>
      </w:rPr>
      <w:t>YAQZHAN</w:t>
    </w:r>
    <w:r w:rsidR="00B92F7A" w:rsidRPr="005031C8">
      <w:rPr>
        <w:rFonts w:ascii="High Tower Text" w:hAnsi="High Tower Text"/>
        <w:sz w:val="22"/>
        <w:szCs w:val="22"/>
      </w:rPr>
      <w:t xml:space="preserve"> | Vol</w:t>
    </w:r>
    <w:r>
      <w:rPr>
        <w:rFonts w:ascii="High Tower Text" w:hAnsi="High Tower Text"/>
        <w:sz w:val="22"/>
        <w:szCs w:val="22"/>
      </w:rPr>
      <w:t xml:space="preserve">ume __, Nomor </w:t>
    </w:r>
    <w:r w:rsidR="00B92F7A" w:rsidRPr="005031C8">
      <w:rPr>
        <w:rFonts w:ascii="High Tower Text" w:hAnsi="High Tower Text"/>
        <w:sz w:val="22"/>
        <w:szCs w:val="22"/>
      </w:rPr>
      <w:t xml:space="preserve">__, </w:t>
    </w:r>
    <w:r>
      <w:rPr>
        <w:rFonts w:ascii="High Tower Text" w:hAnsi="High Tower Text"/>
        <w:sz w:val="22"/>
        <w:szCs w:val="22"/>
      </w:rPr>
      <w:t>Bulan Tahun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495FF" w14:textId="77777777" w:rsidR="003D0A1D" w:rsidRPr="005031C8" w:rsidRDefault="00293244" w:rsidP="00763199">
    <w:pPr>
      <w:pStyle w:val="Header"/>
      <w:ind w:left="2552"/>
      <w:rPr>
        <w:rFonts w:ascii="High Tower Text" w:hAnsi="High Tower Text"/>
        <w:sz w:val="22"/>
        <w:szCs w:val="20"/>
      </w:rPr>
    </w:pPr>
    <w:r w:rsidRPr="005031C8">
      <w:rPr>
        <w:rFonts w:ascii="High Tower Text" w:hAnsi="High Tower Text"/>
        <w:sz w:val="22"/>
        <w:szCs w:val="20"/>
      </w:rPr>
      <w:t>Jurnal Yaqzhan</w:t>
    </w:r>
    <w:r w:rsidR="00B92F7A" w:rsidRPr="005031C8">
      <w:rPr>
        <w:rFonts w:ascii="High Tower Text" w:hAnsi="High Tower Text"/>
        <w:sz w:val="22"/>
        <w:szCs w:val="20"/>
        <w:lang w:val="id-ID"/>
      </w:rPr>
      <w:t>, Vol.</w:t>
    </w:r>
    <w:r w:rsidR="00B92F7A" w:rsidRPr="005031C8">
      <w:rPr>
        <w:rFonts w:ascii="High Tower Text" w:hAnsi="High Tower Text"/>
        <w:sz w:val="22"/>
        <w:szCs w:val="20"/>
      </w:rPr>
      <w:t>__</w:t>
    </w:r>
    <w:r w:rsidR="00C86BB6" w:rsidRPr="005031C8">
      <w:rPr>
        <w:rFonts w:ascii="High Tower Text" w:hAnsi="High Tower Text"/>
        <w:sz w:val="22"/>
        <w:szCs w:val="20"/>
        <w:lang w:val="id-ID"/>
      </w:rPr>
      <w:t xml:space="preserve"> </w:t>
    </w:r>
    <w:r w:rsidR="00B92F7A" w:rsidRPr="005031C8">
      <w:rPr>
        <w:rFonts w:ascii="High Tower Text" w:hAnsi="High Tower Text"/>
        <w:sz w:val="22"/>
        <w:szCs w:val="20"/>
      </w:rPr>
      <w:t>No.__</w:t>
    </w:r>
    <w:r w:rsidR="00C86BB6" w:rsidRPr="005031C8">
      <w:rPr>
        <w:rFonts w:ascii="High Tower Text" w:hAnsi="High Tower Text"/>
        <w:sz w:val="22"/>
        <w:szCs w:val="20"/>
        <w:lang w:val="id-ID"/>
      </w:rPr>
      <w:t>,</w:t>
    </w:r>
    <w:r w:rsidR="008738F6" w:rsidRPr="005031C8">
      <w:rPr>
        <w:rFonts w:ascii="High Tower Text" w:hAnsi="High Tower Text"/>
        <w:sz w:val="22"/>
        <w:szCs w:val="20"/>
      </w:rPr>
      <w:t xml:space="preserve"> </w:t>
    </w:r>
    <w:r w:rsidR="00B92F7A" w:rsidRPr="005031C8">
      <w:rPr>
        <w:rFonts w:ascii="High Tower Text" w:hAnsi="High Tower Text"/>
        <w:sz w:val="22"/>
        <w:szCs w:val="20"/>
      </w:rPr>
      <w:t>Bulan Tahun</w:t>
    </w:r>
  </w:p>
  <w:p w14:paraId="32FB17B4" w14:textId="77777777" w:rsidR="003D0A1D" w:rsidRPr="005031C8" w:rsidRDefault="008D7A68" w:rsidP="00763199">
    <w:pPr>
      <w:pStyle w:val="Header"/>
      <w:ind w:left="2552"/>
      <w:rPr>
        <w:rFonts w:ascii="High Tower Text" w:hAnsi="High Tower Text" w:cs="Tahoma"/>
        <w:sz w:val="20"/>
        <w:szCs w:val="20"/>
        <w:lang w:val="id-ID"/>
      </w:rPr>
    </w:pPr>
    <w:r w:rsidRPr="005031C8">
      <w:rPr>
        <w:rFonts w:ascii="High Tower Text" w:hAnsi="High Tower Text" w:cs="Tahoma"/>
        <w:sz w:val="20"/>
        <w:szCs w:val="20"/>
        <w:lang w:val="id-ID"/>
      </w:rPr>
      <w:t>Ava</w:t>
    </w:r>
    <w:r w:rsidR="00C86BB6" w:rsidRPr="005031C8">
      <w:rPr>
        <w:rFonts w:ascii="High Tower Text" w:hAnsi="High Tower Text" w:cs="Tahoma"/>
        <w:sz w:val="20"/>
        <w:szCs w:val="20"/>
        <w:lang w:val="id-ID"/>
      </w:rPr>
      <w:t>i</w:t>
    </w:r>
    <w:r w:rsidRPr="005031C8">
      <w:rPr>
        <w:rFonts w:ascii="High Tower Text" w:hAnsi="High Tower Text" w:cs="Tahoma"/>
        <w:sz w:val="20"/>
        <w:szCs w:val="20"/>
      </w:rPr>
      <w:t>l</w:t>
    </w:r>
    <w:r w:rsidR="00C86BB6" w:rsidRPr="005031C8">
      <w:rPr>
        <w:rFonts w:ascii="High Tower Text" w:hAnsi="High Tower Text" w:cs="Tahoma"/>
        <w:sz w:val="20"/>
        <w:szCs w:val="20"/>
        <w:lang w:val="id-ID"/>
      </w:rPr>
      <w:t xml:space="preserve">able online at </w:t>
    </w:r>
    <w:hyperlink r:id="rId1" w:history="1">
      <w:r w:rsidR="008738F6" w:rsidRPr="003E2345">
        <w:rPr>
          <w:rStyle w:val="Hyperlink"/>
          <w:rFonts w:ascii="High Tower Text" w:hAnsi="High Tower Text"/>
          <w:sz w:val="20"/>
        </w:rPr>
        <w:t>http://www.syekhnurjati.ac.id/jurnal/index.php/yaqzhan/index</w:t>
      </w:r>
    </w:hyperlink>
  </w:p>
  <w:p w14:paraId="65C9137A" w14:textId="77777777" w:rsidR="003D0A1D" w:rsidRPr="005031C8" w:rsidRDefault="00B92F7A" w:rsidP="00763199">
    <w:pPr>
      <w:pStyle w:val="Header"/>
      <w:tabs>
        <w:tab w:val="clear" w:pos="4320"/>
      </w:tabs>
      <w:ind w:left="2552"/>
      <w:rPr>
        <w:rFonts w:ascii="High Tower Text" w:hAnsi="High Tower Text" w:cs="Tahoma"/>
        <w:sz w:val="20"/>
        <w:szCs w:val="20"/>
      </w:rPr>
    </w:pPr>
    <w:r w:rsidRPr="005031C8">
      <w:rPr>
        <w:rFonts w:ascii="High Tower Text" w:hAnsi="High Tower Text" w:cs="Tahoma"/>
        <w:sz w:val="20"/>
        <w:szCs w:val="20"/>
      </w:rPr>
      <w:t>D</w:t>
    </w:r>
    <w:r w:rsidR="00CF29F6" w:rsidRPr="005031C8">
      <w:rPr>
        <w:rFonts w:ascii="High Tower Text" w:hAnsi="High Tower Text" w:cs="Tahoma"/>
        <w:sz w:val="20"/>
        <w:szCs w:val="20"/>
      </w:rPr>
      <w:t>OI</w:t>
    </w:r>
    <w:r w:rsidR="00C86BB6" w:rsidRPr="005031C8">
      <w:rPr>
        <w:rFonts w:ascii="High Tower Text" w:hAnsi="High Tower Text" w:cs="Tahoma"/>
        <w:sz w:val="20"/>
        <w:szCs w:val="20"/>
        <w:lang w:val="id-ID"/>
      </w:rPr>
      <w:t>:</w:t>
    </w:r>
    <w:r w:rsidR="005031C8">
      <w:rPr>
        <w:rFonts w:ascii="High Tower Text" w:hAnsi="High Tower Text" w:cs="Tahoma"/>
        <w:sz w:val="20"/>
        <w:szCs w:val="20"/>
      </w:rPr>
      <w:t xml:space="preserve"> </w:t>
    </w:r>
  </w:p>
  <w:p w14:paraId="6DFD2D46" w14:textId="77777777" w:rsidR="003D0A1D" w:rsidRPr="00572AFA" w:rsidRDefault="00C86BB6" w:rsidP="00763199">
    <w:pPr>
      <w:pStyle w:val="Header"/>
      <w:tabs>
        <w:tab w:val="clear" w:pos="4320"/>
      </w:tabs>
      <w:ind w:left="2552"/>
      <w:rPr>
        <w:rFonts w:ascii="Tahoma" w:hAnsi="Tahoma" w:cs="Tahoma"/>
        <w:sz w:val="20"/>
        <w:szCs w:val="20"/>
        <w:lang w:val="id-ID"/>
      </w:rPr>
    </w:pPr>
    <w:r w:rsidRPr="005031C8">
      <w:rPr>
        <w:rFonts w:ascii="High Tower Text" w:hAnsi="High Tower Text" w:cs="Tahoma"/>
        <w:sz w:val="20"/>
        <w:szCs w:val="20"/>
        <w:lang w:val="id-ID"/>
      </w:rPr>
      <w:t xml:space="preserve">Published by Departement of </w:t>
    </w:r>
    <w:r w:rsidR="00E43BF9">
      <w:rPr>
        <w:rFonts w:ascii="High Tower Text" w:hAnsi="High Tower Text" w:cs="Tahoma"/>
        <w:sz w:val="20"/>
        <w:szCs w:val="20"/>
      </w:rPr>
      <w:t>Aqeedah and Islamic Philosophy</w:t>
    </w:r>
    <w:r w:rsidRPr="005031C8">
      <w:rPr>
        <w:rFonts w:ascii="High Tower Text" w:hAnsi="High Tower Text" w:cs="Tahoma"/>
        <w:sz w:val="20"/>
        <w:szCs w:val="20"/>
        <w:lang w:val="id-ID"/>
      </w:rPr>
      <w:t xml:space="preserve">, Faculty of </w:t>
    </w:r>
    <w:r w:rsidR="00293244" w:rsidRPr="005031C8">
      <w:rPr>
        <w:rFonts w:ascii="High Tower Text" w:hAnsi="High Tower Text" w:cs="Tahoma"/>
        <w:sz w:val="20"/>
        <w:szCs w:val="20"/>
      </w:rPr>
      <w:t>Ushuluddin</w:t>
    </w:r>
    <w:r w:rsidR="00E43BF9">
      <w:rPr>
        <w:rFonts w:ascii="High Tower Text" w:hAnsi="High Tower Text" w:cs="Tahoma"/>
        <w:sz w:val="20"/>
        <w:szCs w:val="20"/>
      </w:rPr>
      <w:t>, Adab and Dakwah</w:t>
    </w:r>
    <w:r w:rsidRPr="005031C8">
      <w:rPr>
        <w:rFonts w:ascii="High Tower Text" w:hAnsi="High Tower Text" w:cs="Tahoma"/>
        <w:sz w:val="20"/>
        <w:szCs w:val="20"/>
        <w:lang w:val="id-ID"/>
      </w:rPr>
      <w:t xml:space="preserve"> IAIN Syekh Nurjati Cirebon, Indonesia</w:t>
    </w:r>
    <w:r>
      <w:rPr>
        <w:rFonts w:ascii="Tahoma" w:hAnsi="Tahoma" w:cs="Tahoma"/>
        <w:sz w:val="20"/>
        <w:szCs w:val="20"/>
        <w:lang w:val="id-ID"/>
      </w:rPr>
      <w:tab/>
    </w:r>
  </w:p>
  <w:p w14:paraId="24BEBD3C" w14:textId="77777777" w:rsidR="003D0A1D" w:rsidRDefault="003D0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4DA"/>
    <w:multiLevelType w:val="hybridMultilevel"/>
    <w:tmpl w:val="FA4CE9B4"/>
    <w:lvl w:ilvl="0" w:tplc="42BA6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36ACC"/>
    <w:multiLevelType w:val="hybridMultilevel"/>
    <w:tmpl w:val="8E16743C"/>
    <w:lvl w:ilvl="0" w:tplc="E6CCD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46998"/>
    <w:multiLevelType w:val="hybridMultilevel"/>
    <w:tmpl w:val="4ECAEBCE"/>
    <w:lvl w:ilvl="0" w:tplc="0BB0C132">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32F32"/>
    <w:multiLevelType w:val="hybridMultilevel"/>
    <w:tmpl w:val="4258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4661C"/>
    <w:multiLevelType w:val="hybridMultilevel"/>
    <w:tmpl w:val="31726BAA"/>
    <w:lvl w:ilvl="0" w:tplc="9CCE18C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C4C6F"/>
    <w:multiLevelType w:val="multilevel"/>
    <w:tmpl w:val="E2020B74"/>
    <w:lvl w:ilvl="0">
      <w:start w:val="1"/>
      <w:numFmt w:val="upperLetter"/>
      <w:lvlText w:val="%1."/>
      <w:lvlJc w:val="left"/>
      <w:pPr>
        <w:ind w:left="720" w:hanging="360"/>
      </w:pPr>
      <w:rPr>
        <w:rFonts w:ascii="Times New Roman" w:hAnsi="Times New Roman" w:cs="Times New Roman" w:hint="default"/>
        <w:b/>
        <w:bCs/>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6">
    <w:nsid w:val="3C6E7539"/>
    <w:multiLevelType w:val="hybridMultilevel"/>
    <w:tmpl w:val="D14C11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4F8602FD"/>
    <w:multiLevelType w:val="hybridMultilevel"/>
    <w:tmpl w:val="6FA8E3E0"/>
    <w:lvl w:ilvl="0" w:tplc="C1848B3E">
      <w:start w:val="1"/>
      <w:numFmt w:val="upperLetter"/>
      <w:lvlText w:val="%1."/>
      <w:lvlJc w:val="left"/>
      <w:pPr>
        <w:ind w:left="17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22C19"/>
    <w:multiLevelType w:val="hybridMultilevel"/>
    <w:tmpl w:val="D078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3D2778"/>
    <w:multiLevelType w:val="hybridMultilevel"/>
    <w:tmpl w:val="9F68E00E"/>
    <w:lvl w:ilvl="0" w:tplc="3ABA3DD6">
      <w:start w:val="1"/>
      <w:numFmt w:val="decimal"/>
      <w:pStyle w:val="Heading1"/>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890523"/>
    <w:multiLevelType w:val="hybridMultilevel"/>
    <w:tmpl w:val="9BB847FA"/>
    <w:lvl w:ilvl="0" w:tplc="AA888F0A">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0"/>
  </w:num>
  <w:num w:numId="5">
    <w:abstractNumId w:val="4"/>
  </w:num>
  <w:num w:numId="6">
    <w:abstractNumId w:val="2"/>
  </w:num>
  <w:num w:numId="7">
    <w:abstractNumId w:val="10"/>
  </w:num>
  <w:num w:numId="8">
    <w:abstractNumId w:val="7"/>
  </w:num>
  <w:num w:numId="9">
    <w:abstractNumId w:val="3"/>
  </w:num>
  <w:num w:numId="10">
    <w:abstractNumId w:val="6"/>
  </w:num>
  <w:num w:numId="11">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44"/>
    <w:rsid w:val="0002147D"/>
    <w:rsid w:val="00062CD8"/>
    <w:rsid w:val="000E0FA8"/>
    <w:rsid w:val="00134C3E"/>
    <w:rsid w:val="001454BE"/>
    <w:rsid w:val="00184189"/>
    <w:rsid w:val="001A4A51"/>
    <w:rsid w:val="001E4CAC"/>
    <w:rsid w:val="00256424"/>
    <w:rsid w:val="00260092"/>
    <w:rsid w:val="00293244"/>
    <w:rsid w:val="002B34A0"/>
    <w:rsid w:val="002E6A00"/>
    <w:rsid w:val="003B08E1"/>
    <w:rsid w:val="003D0A1D"/>
    <w:rsid w:val="003E2345"/>
    <w:rsid w:val="00411AFE"/>
    <w:rsid w:val="00416017"/>
    <w:rsid w:val="0044655F"/>
    <w:rsid w:val="00477388"/>
    <w:rsid w:val="004B0500"/>
    <w:rsid w:val="004E69B6"/>
    <w:rsid w:val="005031C8"/>
    <w:rsid w:val="00531856"/>
    <w:rsid w:val="00536063"/>
    <w:rsid w:val="005D08B9"/>
    <w:rsid w:val="005D7CD1"/>
    <w:rsid w:val="005E794B"/>
    <w:rsid w:val="006027AE"/>
    <w:rsid w:val="00616828"/>
    <w:rsid w:val="00665B8D"/>
    <w:rsid w:val="00670765"/>
    <w:rsid w:val="006A1C76"/>
    <w:rsid w:val="006E6EC6"/>
    <w:rsid w:val="007146AB"/>
    <w:rsid w:val="00745637"/>
    <w:rsid w:val="00763199"/>
    <w:rsid w:val="007C2B17"/>
    <w:rsid w:val="007C56A3"/>
    <w:rsid w:val="00804380"/>
    <w:rsid w:val="0086112A"/>
    <w:rsid w:val="008738F6"/>
    <w:rsid w:val="008777C1"/>
    <w:rsid w:val="008D7A68"/>
    <w:rsid w:val="008F5E9B"/>
    <w:rsid w:val="009122A0"/>
    <w:rsid w:val="009318B8"/>
    <w:rsid w:val="00957B86"/>
    <w:rsid w:val="009D4539"/>
    <w:rsid w:val="009F2249"/>
    <w:rsid w:val="00A6436F"/>
    <w:rsid w:val="00AC38FD"/>
    <w:rsid w:val="00AD7BC9"/>
    <w:rsid w:val="00AF08AB"/>
    <w:rsid w:val="00B1444B"/>
    <w:rsid w:val="00B3635B"/>
    <w:rsid w:val="00B92F7A"/>
    <w:rsid w:val="00C015AC"/>
    <w:rsid w:val="00C214CC"/>
    <w:rsid w:val="00C25792"/>
    <w:rsid w:val="00C475CE"/>
    <w:rsid w:val="00C658D8"/>
    <w:rsid w:val="00C8401F"/>
    <w:rsid w:val="00C86BB6"/>
    <w:rsid w:val="00CA16EE"/>
    <w:rsid w:val="00CB7B5A"/>
    <w:rsid w:val="00CF29F6"/>
    <w:rsid w:val="00D54765"/>
    <w:rsid w:val="00DD672E"/>
    <w:rsid w:val="00DF192D"/>
    <w:rsid w:val="00E06EE3"/>
    <w:rsid w:val="00E132A0"/>
    <w:rsid w:val="00E15EC4"/>
    <w:rsid w:val="00E43BF9"/>
    <w:rsid w:val="00E77746"/>
    <w:rsid w:val="00E841E7"/>
    <w:rsid w:val="00EA2A6F"/>
    <w:rsid w:val="00EC013C"/>
    <w:rsid w:val="00EF0A96"/>
    <w:rsid w:val="00F413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4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olorful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3244"/>
    <w:pPr>
      <w:keepNext/>
      <w:numPr>
        <w:numId w:val="1"/>
      </w:numPr>
      <w:spacing w:before="120" w:after="120"/>
      <w:jc w:val="both"/>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244"/>
    <w:rPr>
      <w:rFonts w:ascii="Arial" w:eastAsia="Times New Roman" w:hAnsi="Arial" w:cs="Times New Roman"/>
      <w:b/>
      <w:kern w:val="28"/>
      <w:sz w:val="24"/>
      <w:szCs w:val="20"/>
    </w:rPr>
  </w:style>
  <w:style w:type="paragraph" w:styleId="Header">
    <w:name w:val="header"/>
    <w:basedOn w:val="Normal"/>
    <w:link w:val="HeaderChar"/>
    <w:uiPriority w:val="99"/>
    <w:rsid w:val="00293244"/>
    <w:pPr>
      <w:tabs>
        <w:tab w:val="center" w:pos="4320"/>
        <w:tab w:val="right" w:pos="8640"/>
      </w:tabs>
    </w:pPr>
  </w:style>
  <w:style w:type="character" w:customStyle="1" w:styleId="HeaderChar">
    <w:name w:val="Header Char"/>
    <w:basedOn w:val="DefaultParagraphFont"/>
    <w:link w:val="Header"/>
    <w:uiPriority w:val="99"/>
    <w:rsid w:val="00293244"/>
    <w:rPr>
      <w:rFonts w:ascii="Times New Roman" w:eastAsia="Times New Roman" w:hAnsi="Times New Roman" w:cs="Times New Roman"/>
      <w:sz w:val="24"/>
      <w:szCs w:val="24"/>
    </w:rPr>
  </w:style>
  <w:style w:type="table" w:styleId="TableGrid">
    <w:name w:val="Table Grid"/>
    <w:basedOn w:val="TableNormal"/>
    <w:rsid w:val="002932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93244"/>
  </w:style>
  <w:style w:type="paragraph" w:styleId="ListParagraph">
    <w:name w:val="List Paragraph"/>
    <w:basedOn w:val="Normal"/>
    <w:uiPriority w:val="34"/>
    <w:qFormat/>
    <w:rsid w:val="00293244"/>
    <w:pPr>
      <w:ind w:left="720"/>
    </w:pPr>
  </w:style>
  <w:style w:type="paragraph" w:styleId="NormalWeb">
    <w:name w:val="Normal (Web)"/>
    <w:basedOn w:val="Normal"/>
    <w:uiPriority w:val="99"/>
    <w:unhideWhenUsed/>
    <w:rsid w:val="00293244"/>
    <w:pPr>
      <w:spacing w:before="100" w:beforeAutospacing="1" w:after="100" w:afterAutospacing="1"/>
    </w:pPr>
  </w:style>
  <w:style w:type="character" w:styleId="Strong">
    <w:name w:val="Strong"/>
    <w:uiPriority w:val="22"/>
    <w:qFormat/>
    <w:rsid w:val="00293244"/>
    <w:rPr>
      <w:b/>
      <w:bCs/>
    </w:rPr>
  </w:style>
  <w:style w:type="table" w:styleId="TableColorful2">
    <w:name w:val="Table Colorful 2"/>
    <w:basedOn w:val="TableNormal"/>
    <w:rsid w:val="00293244"/>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basedOn w:val="DefaultParagraphFont"/>
    <w:rsid w:val="00293244"/>
    <w:rPr>
      <w:color w:val="0563C1" w:themeColor="hyperlink"/>
      <w:u w:val="single"/>
    </w:rPr>
  </w:style>
  <w:style w:type="character" w:styleId="Emphasis">
    <w:name w:val="Emphasis"/>
    <w:basedOn w:val="DefaultParagraphFont"/>
    <w:uiPriority w:val="20"/>
    <w:qFormat/>
    <w:rsid w:val="00293244"/>
    <w:rPr>
      <w:i/>
      <w:iCs/>
    </w:rPr>
  </w:style>
  <w:style w:type="paragraph" w:styleId="Footer">
    <w:name w:val="footer"/>
    <w:basedOn w:val="Normal"/>
    <w:link w:val="FooterChar"/>
    <w:uiPriority w:val="99"/>
    <w:unhideWhenUsed/>
    <w:rsid w:val="00293244"/>
    <w:pPr>
      <w:tabs>
        <w:tab w:val="center" w:pos="4680"/>
        <w:tab w:val="right" w:pos="9360"/>
      </w:tabs>
    </w:pPr>
  </w:style>
  <w:style w:type="character" w:customStyle="1" w:styleId="FooterChar">
    <w:name w:val="Footer Char"/>
    <w:basedOn w:val="DefaultParagraphFont"/>
    <w:link w:val="Footer"/>
    <w:uiPriority w:val="99"/>
    <w:rsid w:val="00293244"/>
    <w:rPr>
      <w:rFonts w:ascii="Times New Roman" w:eastAsia="Times New Roman" w:hAnsi="Times New Roman" w:cs="Times New Roman"/>
      <w:sz w:val="24"/>
      <w:szCs w:val="24"/>
    </w:rPr>
  </w:style>
  <w:style w:type="table" w:customStyle="1" w:styleId="GridTable4Accent6">
    <w:name w:val="Grid Table 4 Accent 6"/>
    <w:basedOn w:val="TableNormal"/>
    <w:uiPriority w:val="49"/>
    <w:rsid w:val="008738F6"/>
    <w:pPr>
      <w:spacing w:after="0" w:line="240" w:lineRule="auto"/>
    </w:pPr>
    <w:rPr>
      <w:rFonts w:ascii="Corbel" w:hAnsi="Corbel"/>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5D08B9"/>
    <w:rPr>
      <w:sz w:val="16"/>
      <w:szCs w:val="16"/>
    </w:rPr>
  </w:style>
  <w:style w:type="paragraph" w:styleId="CommentText">
    <w:name w:val="annotation text"/>
    <w:basedOn w:val="Normal"/>
    <w:link w:val="CommentTextChar"/>
    <w:uiPriority w:val="99"/>
    <w:semiHidden/>
    <w:unhideWhenUsed/>
    <w:rsid w:val="005D08B9"/>
    <w:rPr>
      <w:sz w:val="20"/>
      <w:szCs w:val="20"/>
    </w:rPr>
  </w:style>
  <w:style w:type="character" w:customStyle="1" w:styleId="CommentTextChar">
    <w:name w:val="Comment Text Char"/>
    <w:basedOn w:val="DefaultParagraphFont"/>
    <w:link w:val="CommentText"/>
    <w:uiPriority w:val="99"/>
    <w:semiHidden/>
    <w:rsid w:val="005D08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B9"/>
    <w:rPr>
      <w:b/>
      <w:bCs/>
    </w:rPr>
  </w:style>
  <w:style w:type="character" w:customStyle="1" w:styleId="CommentSubjectChar">
    <w:name w:val="Comment Subject Char"/>
    <w:basedOn w:val="CommentTextChar"/>
    <w:link w:val="CommentSubject"/>
    <w:uiPriority w:val="99"/>
    <w:semiHidden/>
    <w:rsid w:val="005D08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0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B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A1C76"/>
    <w:rPr>
      <w:color w:val="954F72" w:themeColor="followedHyperlink"/>
      <w:u w:val="single"/>
    </w:rPr>
  </w:style>
  <w:style w:type="paragraph" w:styleId="FootnoteText">
    <w:name w:val="footnote text"/>
    <w:basedOn w:val="Normal"/>
    <w:link w:val="FootnoteTextChar"/>
    <w:uiPriority w:val="99"/>
    <w:semiHidden/>
    <w:unhideWhenUsed/>
    <w:rsid w:val="003B08E1"/>
    <w:rPr>
      <w:sz w:val="20"/>
      <w:szCs w:val="20"/>
    </w:rPr>
  </w:style>
  <w:style w:type="character" w:customStyle="1" w:styleId="FootnoteTextChar">
    <w:name w:val="Footnote Text Char"/>
    <w:basedOn w:val="DefaultParagraphFont"/>
    <w:link w:val="FootnoteText"/>
    <w:uiPriority w:val="99"/>
    <w:semiHidden/>
    <w:rsid w:val="003B08E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08E1"/>
    <w:rPr>
      <w:vertAlign w:val="superscript"/>
    </w:rPr>
  </w:style>
  <w:style w:type="paragraph" w:styleId="Title">
    <w:name w:val="Title"/>
    <w:basedOn w:val="Normal"/>
    <w:link w:val="TitleChar"/>
    <w:uiPriority w:val="99"/>
    <w:qFormat/>
    <w:rsid w:val="00B1444B"/>
    <w:pPr>
      <w:widowControl w:val="0"/>
      <w:autoSpaceDE w:val="0"/>
      <w:autoSpaceDN w:val="0"/>
      <w:spacing w:before="100" w:beforeAutospacing="1" w:after="100" w:afterAutospacing="1"/>
    </w:pPr>
    <w:rPr>
      <w:b/>
      <w:bCs/>
      <w:lang w:val="en-ID" w:eastAsia="en-ID"/>
    </w:rPr>
  </w:style>
  <w:style w:type="character" w:customStyle="1" w:styleId="TitleChar">
    <w:name w:val="Title Char"/>
    <w:basedOn w:val="DefaultParagraphFont"/>
    <w:link w:val="Title"/>
    <w:uiPriority w:val="99"/>
    <w:rsid w:val="00B1444B"/>
    <w:rPr>
      <w:rFonts w:ascii="Times New Roman" w:eastAsia="Times New Roman" w:hAnsi="Times New Roman" w:cs="Times New Roman"/>
      <w:b/>
      <w:bCs/>
      <w:sz w:val="24"/>
      <w:szCs w:val="24"/>
      <w:lang w:val="en-ID" w:eastAsia="en-ID"/>
    </w:rPr>
  </w:style>
  <w:style w:type="paragraph" w:styleId="BodyText">
    <w:name w:val="Body Text"/>
    <w:basedOn w:val="Normal"/>
    <w:link w:val="BodyTextChar"/>
    <w:uiPriority w:val="99"/>
    <w:unhideWhenUsed/>
    <w:rsid w:val="00B1444B"/>
    <w:pPr>
      <w:widowControl w:val="0"/>
      <w:autoSpaceDE w:val="0"/>
      <w:autoSpaceDN w:val="0"/>
      <w:spacing w:before="100" w:beforeAutospacing="1" w:after="100" w:afterAutospacing="1"/>
    </w:pPr>
    <w:rPr>
      <w:lang w:val="en-ID" w:eastAsia="en-ID"/>
    </w:rPr>
  </w:style>
  <w:style w:type="character" w:customStyle="1" w:styleId="BodyTextChar">
    <w:name w:val="Body Text Char"/>
    <w:basedOn w:val="DefaultParagraphFont"/>
    <w:link w:val="BodyText"/>
    <w:uiPriority w:val="99"/>
    <w:rsid w:val="00B1444B"/>
    <w:rPr>
      <w:rFonts w:ascii="Times New Roman" w:eastAsia="Times New Roman" w:hAnsi="Times New Roman" w:cs="Times New Roman"/>
      <w:sz w:val="24"/>
      <w:szCs w:val="24"/>
      <w:lang w:val="en-ID" w:eastAsia="en-ID"/>
    </w:rPr>
  </w:style>
  <w:style w:type="character" w:customStyle="1" w:styleId="UnresolvedMention">
    <w:name w:val="Unresolved Mention"/>
    <w:basedOn w:val="DefaultParagraphFont"/>
    <w:uiPriority w:val="99"/>
    <w:semiHidden/>
    <w:unhideWhenUsed/>
    <w:rsid w:val="001454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olorful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3244"/>
    <w:pPr>
      <w:keepNext/>
      <w:numPr>
        <w:numId w:val="1"/>
      </w:numPr>
      <w:spacing w:before="120" w:after="120"/>
      <w:jc w:val="both"/>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244"/>
    <w:rPr>
      <w:rFonts w:ascii="Arial" w:eastAsia="Times New Roman" w:hAnsi="Arial" w:cs="Times New Roman"/>
      <w:b/>
      <w:kern w:val="28"/>
      <w:sz w:val="24"/>
      <w:szCs w:val="20"/>
    </w:rPr>
  </w:style>
  <w:style w:type="paragraph" w:styleId="Header">
    <w:name w:val="header"/>
    <w:basedOn w:val="Normal"/>
    <w:link w:val="HeaderChar"/>
    <w:uiPriority w:val="99"/>
    <w:rsid w:val="00293244"/>
    <w:pPr>
      <w:tabs>
        <w:tab w:val="center" w:pos="4320"/>
        <w:tab w:val="right" w:pos="8640"/>
      </w:tabs>
    </w:pPr>
  </w:style>
  <w:style w:type="character" w:customStyle="1" w:styleId="HeaderChar">
    <w:name w:val="Header Char"/>
    <w:basedOn w:val="DefaultParagraphFont"/>
    <w:link w:val="Header"/>
    <w:uiPriority w:val="99"/>
    <w:rsid w:val="00293244"/>
    <w:rPr>
      <w:rFonts w:ascii="Times New Roman" w:eastAsia="Times New Roman" w:hAnsi="Times New Roman" w:cs="Times New Roman"/>
      <w:sz w:val="24"/>
      <w:szCs w:val="24"/>
    </w:rPr>
  </w:style>
  <w:style w:type="table" w:styleId="TableGrid">
    <w:name w:val="Table Grid"/>
    <w:basedOn w:val="TableNormal"/>
    <w:rsid w:val="002932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93244"/>
  </w:style>
  <w:style w:type="paragraph" w:styleId="ListParagraph">
    <w:name w:val="List Paragraph"/>
    <w:basedOn w:val="Normal"/>
    <w:uiPriority w:val="34"/>
    <w:qFormat/>
    <w:rsid w:val="00293244"/>
    <w:pPr>
      <w:ind w:left="720"/>
    </w:pPr>
  </w:style>
  <w:style w:type="paragraph" w:styleId="NormalWeb">
    <w:name w:val="Normal (Web)"/>
    <w:basedOn w:val="Normal"/>
    <w:uiPriority w:val="99"/>
    <w:unhideWhenUsed/>
    <w:rsid w:val="00293244"/>
    <w:pPr>
      <w:spacing w:before="100" w:beforeAutospacing="1" w:after="100" w:afterAutospacing="1"/>
    </w:pPr>
  </w:style>
  <w:style w:type="character" w:styleId="Strong">
    <w:name w:val="Strong"/>
    <w:uiPriority w:val="22"/>
    <w:qFormat/>
    <w:rsid w:val="00293244"/>
    <w:rPr>
      <w:b/>
      <w:bCs/>
    </w:rPr>
  </w:style>
  <w:style w:type="table" w:styleId="TableColorful2">
    <w:name w:val="Table Colorful 2"/>
    <w:basedOn w:val="TableNormal"/>
    <w:rsid w:val="00293244"/>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basedOn w:val="DefaultParagraphFont"/>
    <w:rsid w:val="00293244"/>
    <w:rPr>
      <w:color w:val="0563C1" w:themeColor="hyperlink"/>
      <w:u w:val="single"/>
    </w:rPr>
  </w:style>
  <w:style w:type="character" w:styleId="Emphasis">
    <w:name w:val="Emphasis"/>
    <w:basedOn w:val="DefaultParagraphFont"/>
    <w:uiPriority w:val="20"/>
    <w:qFormat/>
    <w:rsid w:val="00293244"/>
    <w:rPr>
      <w:i/>
      <w:iCs/>
    </w:rPr>
  </w:style>
  <w:style w:type="paragraph" w:styleId="Footer">
    <w:name w:val="footer"/>
    <w:basedOn w:val="Normal"/>
    <w:link w:val="FooterChar"/>
    <w:uiPriority w:val="99"/>
    <w:unhideWhenUsed/>
    <w:rsid w:val="00293244"/>
    <w:pPr>
      <w:tabs>
        <w:tab w:val="center" w:pos="4680"/>
        <w:tab w:val="right" w:pos="9360"/>
      </w:tabs>
    </w:pPr>
  </w:style>
  <w:style w:type="character" w:customStyle="1" w:styleId="FooterChar">
    <w:name w:val="Footer Char"/>
    <w:basedOn w:val="DefaultParagraphFont"/>
    <w:link w:val="Footer"/>
    <w:uiPriority w:val="99"/>
    <w:rsid w:val="00293244"/>
    <w:rPr>
      <w:rFonts w:ascii="Times New Roman" w:eastAsia="Times New Roman" w:hAnsi="Times New Roman" w:cs="Times New Roman"/>
      <w:sz w:val="24"/>
      <w:szCs w:val="24"/>
    </w:rPr>
  </w:style>
  <w:style w:type="table" w:customStyle="1" w:styleId="GridTable4Accent6">
    <w:name w:val="Grid Table 4 Accent 6"/>
    <w:basedOn w:val="TableNormal"/>
    <w:uiPriority w:val="49"/>
    <w:rsid w:val="008738F6"/>
    <w:pPr>
      <w:spacing w:after="0" w:line="240" w:lineRule="auto"/>
    </w:pPr>
    <w:rPr>
      <w:rFonts w:ascii="Corbel" w:hAnsi="Corbel"/>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5D08B9"/>
    <w:rPr>
      <w:sz w:val="16"/>
      <w:szCs w:val="16"/>
    </w:rPr>
  </w:style>
  <w:style w:type="paragraph" w:styleId="CommentText">
    <w:name w:val="annotation text"/>
    <w:basedOn w:val="Normal"/>
    <w:link w:val="CommentTextChar"/>
    <w:uiPriority w:val="99"/>
    <w:semiHidden/>
    <w:unhideWhenUsed/>
    <w:rsid w:val="005D08B9"/>
    <w:rPr>
      <w:sz w:val="20"/>
      <w:szCs w:val="20"/>
    </w:rPr>
  </w:style>
  <w:style w:type="character" w:customStyle="1" w:styleId="CommentTextChar">
    <w:name w:val="Comment Text Char"/>
    <w:basedOn w:val="DefaultParagraphFont"/>
    <w:link w:val="CommentText"/>
    <w:uiPriority w:val="99"/>
    <w:semiHidden/>
    <w:rsid w:val="005D08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B9"/>
    <w:rPr>
      <w:b/>
      <w:bCs/>
    </w:rPr>
  </w:style>
  <w:style w:type="character" w:customStyle="1" w:styleId="CommentSubjectChar">
    <w:name w:val="Comment Subject Char"/>
    <w:basedOn w:val="CommentTextChar"/>
    <w:link w:val="CommentSubject"/>
    <w:uiPriority w:val="99"/>
    <w:semiHidden/>
    <w:rsid w:val="005D08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0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B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A1C76"/>
    <w:rPr>
      <w:color w:val="954F72" w:themeColor="followedHyperlink"/>
      <w:u w:val="single"/>
    </w:rPr>
  </w:style>
  <w:style w:type="paragraph" w:styleId="FootnoteText">
    <w:name w:val="footnote text"/>
    <w:basedOn w:val="Normal"/>
    <w:link w:val="FootnoteTextChar"/>
    <w:uiPriority w:val="99"/>
    <w:semiHidden/>
    <w:unhideWhenUsed/>
    <w:rsid w:val="003B08E1"/>
    <w:rPr>
      <w:sz w:val="20"/>
      <w:szCs w:val="20"/>
    </w:rPr>
  </w:style>
  <w:style w:type="character" w:customStyle="1" w:styleId="FootnoteTextChar">
    <w:name w:val="Footnote Text Char"/>
    <w:basedOn w:val="DefaultParagraphFont"/>
    <w:link w:val="FootnoteText"/>
    <w:uiPriority w:val="99"/>
    <w:semiHidden/>
    <w:rsid w:val="003B08E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08E1"/>
    <w:rPr>
      <w:vertAlign w:val="superscript"/>
    </w:rPr>
  </w:style>
  <w:style w:type="paragraph" w:styleId="Title">
    <w:name w:val="Title"/>
    <w:basedOn w:val="Normal"/>
    <w:link w:val="TitleChar"/>
    <w:uiPriority w:val="99"/>
    <w:qFormat/>
    <w:rsid w:val="00B1444B"/>
    <w:pPr>
      <w:widowControl w:val="0"/>
      <w:autoSpaceDE w:val="0"/>
      <w:autoSpaceDN w:val="0"/>
      <w:spacing w:before="100" w:beforeAutospacing="1" w:after="100" w:afterAutospacing="1"/>
    </w:pPr>
    <w:rPr>
      <w:b/>
      <w:bCs/>
      <w:lang w:val="en-ID" w:eastAsia="en-ID"/>
    </w:rPr>
  </w:style>
  <w:style w:type="character" w:customStyle="1" w:styleId="TitleChar">
    <w:name w:val="Title Char"/>
    <w:basedOn w:val="DefaultParagraphFont"/>
    <w:link w:val="Title"/>
    <w:uiPriority w:val="99"/>
    <w:rsid w:val="00B1444B"/>
    <w:rPr>
      <w:rFonts w:ascii="Times New Roman" w:eastAsia="Times New Roman" w:hAnsi="Times New Roman" w:cs="Times New Roman"/>
      <w:b/>
      <w:bCs/>
      <w:sz w:val="24"/>
      <w:szCs w:val="24"/>
      <w:lang w:val="en-ID" w:eastAsia="en-ID"/>
    </w:rPr>
  </w:style>
  <w:style w:type="paragraph" w:styleId="BodyText">
    <w:name w:val="Body Text"/>
    <w:basedOn w:val="Normal"/>
    <w:link w:val="BodyTextChar"/>
    <w:uiPriority w:val="99"/>
    <w:unhideWhenUsed/>
    <w:rsid w:val="00B1444B"/>
    <w:pPr>
      <w:widowControl w:val="0"/>
      <w:autoSpaceDE w:val="0"/>
      <w:autoSpaceDN w:val="0"/>
      <w:spacing w:before="100" w:beforeAutospacing="1" w:after="100" w:afterAutospacing="1"/>
    </w:pPr>
    <w:rPr>
      <w:lang w:val="en-ID" w:eastAsia="en-ID"/>
    </w:rPr>
  </w:style>
  <w:style w:type="character" w:customStyle="1" w:styleId="BodyTextChar">
    <w:name w:val="Body Text Char"/>
    <w:basedOn w:val="DefaultParagraphFont"/>
    <w:link w:val="BodyText"/>
    <w:uiPriority w:val="99"/>
    <w:rsid w:val="00B1444B"/>
    <w:rPr>
      <w:rFonts w:ascii="Times New Roman" w:eastAsia="Times New Roman" w:hAnsi="Times New Roman" w:cs="Times New Roman"/>
      <w:sz w:val="24"/>
      <w:szCs w:val="24"/>
      <w:lang w:val="en-ID" w:eastAsia="en-ID"/>
    </w:rPr>
  </w:style>
  <w:style w:type="character" w:customStyle="1" w:styleId="UnresolvedMention">
    <w:name w:val="Unresolved Mention"/>
    <w:basedOn w:val="DefaultParagraphFont"/>
    <w:uiPriority w:val="99"/>
    <w:semiHidden/>
    <w:unhideWhenUsed/>
    <w:rsid w:val="00145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748">
      <w:bodyDiv w:val="1"/>
      <w:marLeft w:val="0"/>
      <w:marRight w:val="0"/>
      <w:marTop w:val="0"/>
      <w:marBottom w:val="0"/>
      <w:divBdr>
        <w:top w:val="none" w:sz="0" w:space="0" w:color="auto"/>
        <w:left w:val="none" w:sz="0" w:space="0" w:color="auto"/>
        <w:bottom w:val="none" w:sz="0" w:space="0" w:color="auto"/>
        <w:right w:val="none" w:sz="0" w:space="0" w:color="auto"/>
      </w:divBdr>
    </w:div>
    <w:div w:id="61368353">
      <w:bodyDiv w:val="1"/>
      <w:marLeft w:val="0"/>
      <w:marRight w:val="0"/>
      <w:marTop w:val="0"/>
      <w:marBottom w:val="0"/>
      <w:divBdr>
        <w:top w:val="none" w:sz="0" w:space="0" w:color="auto"/>
        <w:left w:val="none" w:sz="0" w:space="0" w:color="auto"/>
        <w:bottom w:val="none" w:sz="0" w:space="0" w:color="auto"/>
        <w:right w:val="none" w:sz="0" w:space="0" w:color="auto"/>
      </w:divBdr>
    </w:div>
    <w:div w:id="88892863">
      <w:bodyDiv w:val="1"/>
      <w:marLeft w:val="0"/>
      <w:marRight w:val="0"/>
      <w:marTop w:val="0"/>
      <w:marBottom w:val="0"/>
      <w:divBdr>
        <w:top w:val="none" w:sz="0" w:space="0" w:color="auto"/>
        <w:left w:val="none" w:sz="0" w:space="0" w:color="auto"/>
        <w:bottom w:val="none" w:sz="0" w:space="0" w:color="auto"/>
        <w:right w:val="none" w:sz="0" w:space="0" w:color="auto"/>
      </w:divBdr>
    </w:div>
    <w:div w:id="125853149">
      <w:bodyDiv w:val="1"/>
      <w:marLeft w:val="0"/>
      <w:marRight w:val="0"/>
      <w:marTop w:val="0"/>
      <w:marBottom w:val="0"/>
      <w:divBdr>
        <w:top w:val="none" w:sz="0" w:space="0" w:color="auto"/>
        <w:left w:val="none" w:sz="0" w:space="0" w:color="auto"/>
        <w:bottom w:val="none" w:sz="0" w:space="0" w:color="auto"/>
        <w:right w:val="none" w:sz="0" w:space="0" w:color="auto"/>
      </w:divBdr>
    </w:div>
    <w:div w:id="130752068">
      <w:bodyDiv w:val="1"/>
      <w:marLeft w:val="0"/>
      <w:marRight w:val="0"/>
      <w:marTop w:val="0"/>
      <w:marBottom w:val="0"/>
      <w:divBdr>
        <w:top w:val="none" w:sz="0" w:space="0" w:color="auto"/>
        <w:left w:val="none" w:sz="0" w:space="0" w:color="auto"/>
        <w:bottom w:val="none" w:sz="0" w:space="0" w:color="auto"/>
        <w:right w:val="none" w:sz="0" w:space="0" w:color="auto"/>
      </w:divBdr>
    </w:div>
    <w:div w:id="387414374">
      <w:bodyDiv w:val="1"/>
      <w:marLeft w:val="0"/>
      <w:marRight w:val="0"/>
      <w:marTop w:val="0"/>
      <w:marBottom w:val="0"/>
      <w:divBdr>
        <w:top w:val="none" w:sz="0" w:space="0" w:color="auto"/>
        <w:left w:val="none" w:sz="0" w:space="0" w:color="auto"/>
        <w:bottom w:val="none" w:sz="0" w:space="0" w:color="auto"/>
        <w:right w:val="none" w:sz="0" w:space="0" w:color="auto"/>
      </w:divBdr>
    </w:div>
    <w:div w:id="400829288">
      <w:bodyDiv w:val="1"/>
      <w:marLeft w:val="0"/>
      <w:marRight w:val="0"/>
      <w:marTop w:val="0"/>
      <w:marBottom w:val="0"/>
      <w:divBdr>
        <w:top w:val="none" w:sz="0" w:space="0" w:color="auto"/>
        <w:left w:val="none" w:sz="0" w:space="0" w:color="auto"/>
        <w:bottom w:val="none" w:sz="0" w:space="0" w:color="auto"/>
        <w:right w:val="none" w:sz="0" w:space="0" w:color="auto"/>
      </w:divBdr>
    </w:div>
    <w:div w:id="428043176">
      <w:bodyDiv w:val="1"/>
      <w:marLeft w:val="0"/>
      <w:marRight w:val="0"/>
      <w:marTop w:val="0"/>
      <w:marBottom w:val="0"/>
      <w:divBdr>
        <w:top w:val="none" w:sz="0" w:space="0" w:color="auto"/>
        <w:left w:val="none" w:sz="0" w:space="0" w:color="auto"/>
        <w:bottom w:val="none" w:sz="0" w:space="0" w:color="auto"/>
        <w:right w:val="none" w:sz="0" w:space="0" w:color="auto"/>
      </w:divBdr>
    </w:div>
    <w:div w:id="552812260">
      <w:bodyDiv w:val="1"/>
      <w:marLeft w:val="0"/>
      <w:marRight w:val="0"/>
      <w:marTop w:val="0"/>
      <w:marBottom w:val="0"/>
      <w:divBdr>
        <w:top w:val="none" w:sz="0" w:space="0" w:color="auto"/>
        <w:left w:val="none" w:sz="0" w:space="0" w:color="auto"/>
        <w:bottom w:val="none" w:sz="0" w:space="0" w:color="auto"/>
        <w:right w:val="none" w:sz="0" w:space="0" w:color="auto"/>
      </w:divBdr>
    </w:div>
    <w:div w:id="583076725">
      <w:bodyDiv w:val="1"/>
      <w:marLeft w:val="0"/>
      <w:marRight w:val="0"/>
      <w:marTop w:val="0"/>
      <w:marBottom w:val="0"/>
      <w:divBdr>
        <w:top w:val="none" w:sz="0" w:space="0" w:color="auto"/>
        <w:left w:val="none" w:sz="0" w:space="0" w:color="auto"/>
        <w:bottom w:val="none" w:sz="0" w:space="0" w:color="auto"/>
        <w:right w:val="none" w:sz="0" w:space="0" w:color="auto"/>
      </w:divBdr>
    </w:div>
    <w:div w:id="585185658">
      <w:bodyDiv w:val="1"/>
      <w:marLeft w:val="0"/>
      <w:marRight w:val="0"/>
      <w:marTop w:val="0"/>
      <w:marBottom w:val="0"/>
      <w:divBdr>
        <w:top w:val="none" w:sz="0" w:space="0" w:color="auto"/>
        <w:left w:val="none" w:sz="0" w:space="0" w:color="auto"/>
        <w:bottom w:val="none" w:sz="0" w:space="0" w:color="auto"/>
        <w:right w:val="none" w:sz="0" w:space="0" w:color="auto"/>
      </w:divBdr>
    </w:div>
    <w:div w:id="623735356">
      <w:bodyDiv w:val="1"/>
      <w:marLeft w:val="0"/>
      <w:marRight w:val="0"/>
      <w:marTop w:val="0"/>
      <w:marBottom w:val="0"/>
      <w:divBdr>
        <w:top w:val="none" w:sz="0" w:space="0" w:color="auto"/>
        <w:left w:val="none" w:sz="0" w:space="0" w:color="auto"/>
        <w:bottom w:val="none" w:sz="0" w:space="0" w:color="auto"/>
        <w:right w:val="none" w:sz="0" w:space="0" w:color="auto"/>
      </w:divBdr>
    </w:div>
    <w:div w:id="775104962">
      <w:bodyDiv w:val="1"/>
      <w:marLeft w:val="0"/>
      <w:marRight w:val="0"/>
      <w:marTop w:val="0"/>
      <w:marBottom w:val="0"/>
      <w:divBdr>
        <w:top w:val="none" w:sz="0" w:space="0" w:color="auto"/>
        <w:left w:val="none" w:sz="0" w:space="0" w:color="auto"/>
        <w:bottom w:val="none" w:sz="0" w:space="0" w:color="auto"/>
        <w:right w:val="none" w:sz="0" w:space="0" w:color="auto"/>
      </w:divBdr>
    </w:div>
    <w:div w:id="914321874">
      <w:bodyDiv w:val="1"/>
      <w:marLeft w:val="0"/>
      <w:marRight w:val="0"/>
      <w:marTop w:val="0"/>
      <w:marBottom w:val="0"/>
      <w:divBdr>
        <w:top w:val="none" w:sz="0" w:space="0" w:color="auto"/>
        <w:left w:val="none" w:sz="0" w:space="0" w:color="auto"/>
        <w:bottom w:val="none" w:sz="0" w:space="0" w:color="auto"/>
        <w:right w:val="none" w:sz="0" w:space="0" w:color="auto"/>
      </w:divBdr>
    </w:div>
    <w:div w:id="925960249">
      <w:bodyDiv w:val="1"/>
      <w:marLeft w:val="0"/>
      <w:marRight w:val="0"/>
      <w:marTop w:val="0"/>
      <w:marBottom w:val="0"/>
      <w:divBdr>
        <w:top w:val="none" w:sz="0" w:space="0" w:color="auto"/>
        <w:left w:val="none" w:sz="0" w:space="0" w:color="auto"/>
        <w:bottom w:val="none" w:sz="0" w:space="0" w:color="auto"/>
        <w:right w:val="none" w:sz="0" w:space="0" w:color="auto"/>
      </w:divBdr>
    </w:div>
    <w:div w:id="931209315">
      <w:bodyDiv w:val="1"/>
      <w:marLeft w:val="0"/>
      <w:marRight w:val="0"/>
      <w:marTop w:val="0"/>
      <w:marBottom w:val="0"/>
      <w:divBdr>
        <w:top w:val="none" w:sz="0" w:space="0" w:color="auto"/>
        <w:left w:val="none" w:sz="0" w:space="0" w:color="auto"/>
        <w:bottom w:val="none" w:sz="0" w:space="0" w:color="auto"/>
        <w:right w:val="none" w:sz="0" w:space="0" w:color="auto"/>
      </w:divBdr>
    </w:div>
    <w:div w:id="982923864">
      <w:bodyDiv w:val="1"/>
      <w:marLeft w:val="0"/>
      <w:marRight w:val="0"/>
      <w:marTop w:val="0"/>
      <w:marBottom w:val="0"/>
      <w:divBdr>
        <w:top w:val="none" w:sz="0" w:space="0" w:color="auto"/>
        <w:left w:val="none" w:sz="0" w:space="0" w:color="auto"/>
        <w:bottom w:val="none" w:sz="0" w:space="0" w:color="auto"/>
        <w:right w:val="none" w:sz="0" w:space="0" w:color="auto"/>
      </w:divBdr>
    </w:div>
    <w:div w:id="1062875462">
      <w:bodyDiv w:val="1"/>
      <w:marLeft w:val="0"/>
      <w:marRight w:val="0"/>
      <w:marTop w:val="0"/>
      <w:marBottom w:val="0"/>
      <w:divBdr>
        <w:top w:val="none" w:sz="0" w:space="0" w:color="auto"/>
        <w:left w:val="none" w:sz="0" w:space="0" w:color="auto"/>
        <w:bottom w:val="none" w:sz="0" w:space="0" w:color="auto"/>
        <w:right w:val="none" w:sz="0" w:space="0" w:color="auto"/>
      </w:divBdr>
    </w:div>
    <w:div w:id="1107389115">
      <w:bodyDiv w:val="1"/>
      <w:marLeft w:val="0"/>
      <w:marRight w:val="0"/>
      <w:marTop w:val="0"/>
      <w:marBottom w:val="0"/>
      <w:divBdr>
        <w:top w:val="none" w:sz="0" w:space="0" w:color="auto"/>
        <w:left w:val="none" w:sz="0" w:space="0" w:color="auto"/>
        <w:bottom w:val="none" w:sz="0" w:space="0" w:color="auto"/>
        <w:right w:val="none" w:sz="0" w:space="0" w:color="auto"/>
      </w:divBdr>
    </w:div>
    <w:div w:id="1146095290">
      <w:bodyDiv w:val="1"/>
      <w:marLeft w:val="0"/>
      <w:marRight w:val="0"/>
      <w:marTop w:val="0"/>
      <w:marBottom w:val="0"/>
      <w:divBdr>
        <w:top w:val="none" w:sz="0" w:space="0" w:color="auto"/>
        <w:left w:val="none" w:sz="0" w:space="0" w:color="auto"/>
        <w:bottom w:val="none" w:sz="0" w:space="0" w:color="auto"/>
        <w:right w:val="none" w:sz="0" w:space="0" w:color="auto"/>
      </w:divBdr>
    </w:div>
    <w:div w:id="1207134870">
      <w:bodyDiv w:val="1"/>
      <w:marLeft w:val="0"/>
      <w:marRight w:val="0"/>
      <w:marTop w:val="0"/>
      <w:marBottom w:val="0"/>
      <w:divBdr>
        <w:top w:val="none" w:sz="0" w:space="0" w:color="auto"/>
        <w:left w:val="none" w:sz="0" w:space="0" w:color="auto"/>
        <w:bottom w:val="none" w:sz="0" w:space="0" w:color="auto"/>
        <w:right w:val="none" w:sz="0" w:space="0" w:color="auto"/>
      </w:divBdr>
    </w:div>
    <w:div w:id="1451435259">
      <w:bodyDiv w:val="1"/>
      <w:marLeft w:val="0"/>
      <w:marRight w:val="0"/>
      <w:marTop w:val="0"/>
      <w:marBottom w:val="0"/>
      <w:divBdr>
        <w:top w:val="none" w:sz="0" w:space="0" w:color="auto"/>
        <w:left w:val="none" w:sz="0" w:space="0" w:color="auto"/>
        <w:bottom w:val="none" w:sz="0" w:space="0" w:color="auto"/>
        <w:right w:val="none" w:sz="0" w:space="0" w:color="auto"/>
      </w:divBdr>
    </w:div>
    <w:div w:id="1489982283">
      <w:bodyDiv w:val="1"/>
      <w:marLeft w:val="0"/>
      <w:marRight w:val="0"/>
      <w:marTop w:val="0"/>
      <w:marBottom w:val="0"/>
      <w:divBdr>
        <w:top w:val="none" w:sz="0" w:space="0" w:color="auto"/>
        <w:left w:val="none" w:sz="0" w:space="0" w:color="auto"/>
        <w:bottom w:val="none" w:sz="0" w:space="0" w:color="auto"/>
        <w:right w:val="none" w:sz="0" w:space="0" w:color="auto"/>
      </w:divBdr>
    </w:div>
    <w:div w:id="1538663088">
      <w:bodyDiv w:val="1"/>
      <w:marLeft w:val="0"/>
      <w:marRight w:val="0"/>
      <w:marTop w:val="0"/>
      <w:marBottom w:val="0"/>
      <w:divBdr>
        <w:top w:val="none" w:sz="0" w:space="0" w:color="auto"/>
        <w:left w:val="none" w:sz="0" w:space="0" w:color="auto"/>
        <w:bottom w:val="none" w:sz="0" w:space="0" w:color="auto"/>
        <w:right w:val="none" w:sz="0" w:space="0" w:color="auto"/>
      </w:divBdr>
    </w:div>
    <w:div w:id="1588005387">
      <w:bodyDiv w:val="1"/>
      <w:marLeft w:val="0"/>
      <w:marRight w:val="0"/>
      <w:marTop w:val="0"/>
      <w:marBottom w:val="0"/>
      <w:divBdr>
        <w:top w:val="none" w:sz="0" w:space="0" w:color="auto"/>
        <w:left w:val="none" w:sz="0" w:space="0" w:color="auto"/>
        <w:bottom w:val="none" w:sz="0" w:space="0" w:color="auto"/>
        <w:right w:val="none" w:sz="0" w:space="0" w:color="auto"/>
      </w:divBdr>
    </w:div>
    <w:div w:id="1651985880">
      <w:bodyDiv w:val="1"/>
      <w:marLeft w:val="0"/>
      <w:marRight w:val="0"/>
      <w:marTop w:val="0"/>
      <w:marBottom w:val="0"/>
      <w:divBdr>
        <w:top w:val="none" w:sz="0" w:space="0" w:color="auto"/>
        <w:left w:val="none" w:sz="0" w:space="0" w:color="auto"/>
        <w:bottom w:val="none" w:sz="0" w:space="0" w:color="auto"/>
        <w:right w:val="none" w:sz="0" w:space="0" w:color="auto"/>
      </w:divBdr>
    </w:div>
    <w:div w:id="1696350464">
      <w:bodyDiv w:val="1"/>
      <w:marLeft w:val="0"/>
      <w:marRight w:val="0"/>
      <w:marTop w:val="0"/>
      <w:marBottom w:val="0"/>
      <w:divBdr>
        <w:top w:val="none" w:sz="0" w:space="0" w:color="auto"/>
        <w:left w:val="none" w:sz="0" w:space="0" w:color="auto"/>
        <w:bottom w:val="none" w:sz="0" w:space="0" w:color="auto"/>
        <w:right w:val="none" w:sz="0" w:space="0" w:color="auto"/>
      </w:divBdr>
    </w:div>
    <w:div w:id="1708263192">
      <w:bodyDiv w:val="1"/>
      <w:marLeft w:val="0"/>
      <w:marRight w:val="0"/>
      <w:marTop w:val="0"/>
      <w:marBottom w:val="0"/>
      <w:divBdr>
        <w:top w:val="none" w:sz="0" w:space="0" w:color="auto"/>
        <w:left w:val="none" w:sz="0" w:space="0" w:color="auto"/>
        <w:bottom w:val="none" w:sz="0" w:space="0" w:color="auto"/>
        <w:right w:val="none" w:sz="0" w:space="0" w:color="auto"/>
      </w:divBdr>
    </w:div>
    <w:div w:id="1815096365">
      <w:bodyDiv w:val="1"/>
      <w:marLeft w:val="0"/>
      <w:marRight w:val="0"/>
      <w:marTop w:val="0"/>
      <w:marBottom w:val="0"/>
      <w:divBdr>
        <w:top w:val="none" w:sz="0" w:space="0" w:color="auto"/>
        <w:left w:val="none" w:sz="0" w:space="0" w:color="auto"/>
        <w:bottom w:val="none" w:sz="0" w:space="0" w:color="auto"/>
        <w:right w:val="none" w:sz="0" w:space="0" w:color="auto"/>
      </w:divBdr>
    </w:div>
    <w:div w:id="1910848881">
      <w:bodyDiv w:val="1"/>
      <w:marLeft w:val="0"/>
      <w:marRight w:val="0"/>
      <w:marTop w:val="0"/>
      <w:marBottom w:val="0"/>
      <w:divBdr>
        <w:top w:val="none" w:sz="0" w:space="0" w:color="auto"/>
        <w:left w:val="none" w:sz="0" w:space="0" w:color="auto"/>
        <w:bottom w:val="none" w:sz="0" w:space="0" w:color="auto"/>
        <w:right w:val="none" w:sz="0" w:space="0" w:color="auto"/>
      </w:divBdr>
    </w:div>
    <w:div w:id="1953588207">
      <w:bodyDiv w:val="1"/>
      <w:marLeft w:val="0"/>
      <w:marRight w:val="0"/>
      <w:marTop w:val="0"/>
      <w:marBottom w:val="0"/>
      <w:divBdr>
        <w:top w:val="none" w:sz="0" w:space="0" w:color="auto"/>
        <w:left w:val="none" w:sz="0" w:space="0" w:color="auto"/>
        <w:bottom w:val="none" w:sz="0" w:space="0" w:color="auto"/>
        <w:right w:val="none" w:sz="0" w:space="0" w:color="auto"/>
      </w:divBdr>
    </w:div>
    <w:div w:id="1968392786">
      <w:bodyDiv w:val="1"/>
      <w:marLeft w:val="0"/>
      <w:marRight w:val="0"/>
      <w:marTop w:val="0"/>
      <w:marBottom w:val="0"/>
      <w:divBdr>
        <w:top w:val="none" w:sz="0" w:space="0" w:color="auto"/>
        <w:left w:val="none" w:sz="0" w:space="0" w:color="auto"/>
        <w:bottom w:val="none" w:sz="0" w:space="0" w:color="auto"/>
        <w:right w:val="none" w:sz="0" w:space="0" w:color="auto"/>
      </w:divBdr>
    </w:div>
    <w:div w:id="213536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uhajir@uinbanten.a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usgunawan1405@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232622109.samsul@uinbanten.ac.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syekhnurjati.ac.id/jurnal/index.php/yaqzhan/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2FB707B-9AD9-4FDC-B53E-E0C5726D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4459</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DARUNNAM ICT UNIT</dc:creator>
  <cp:lastModifiedBy>User</cp:lastModifiedBy>
  <cp:revision>2</cp:revision>
  <cp:lastPrinted>2024-01-01T06:49:00Z</cp:lastPrinted>
  <dcterms:created xsi:type="dcterms:W3CDTF">2024-02-19T02:48:00Z</dcterms:created>
  <dcterms:modified xsi:type="dcterms:W3CDTF">2024-02-19T02:48:00Z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8a37167d-3195-3e81-8ba2-e2a1206f44ed</vt:lpwstr>
  </property>
  <property fmtid="{D5CDD505-2E9C-101B-9397-08002B2CF9AE}" pid="4" name="Mendeley Citation Style_1">
    <vt:lpwstr>http://www.zotero.org/styles/turabian-fullnote-bibliography-no-ibid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http://www.zotero.org/styles/chicago-fullnote-bibliography-fr</vt:lpwstr>
  </property>
  <property fmtid="{D5CDD505-2E9C-101B-9397-08002B2CF9AE}" pid="14" name="Mendeley Recent Style Name 4_1">
    <vt:lpwstr>Chicago Manual of Style 16th edition (full note, French)</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http://www.zotero.org/styles/chicago-fullnote-bibliography-with-ibid</vt:lpwstr>
  </property>
  <property fmtid="{D5CDD505-2E9C-101B-9397-08002B2CF9AE}" pid="18" name="Mendeley Recent Style Name 6_1">
    <vt:lpwstr>Chicago Manual of Style 17th edition (full note, with Ibid.)</vt:lpwstr>
  </property>
  <property fmtid="{D5CDD505-2E9C-101B-9397-08002B2CF9AE}" pid="19" name="Mendeley Recent Style Id 7_1">
    <vt:lpwstr>http://www.zotero.org/styles/harvard-cite-them-right</vt:lpwstr>
  </property>
  <property fmtid="{D5CDD505-2E9C-101B-9397-08002B2CF9AE}" pid="20" name="Mendeley Recent Style Name 7_1">
    <vt:lpwstr>Cite Them Right 10th edition - Harvard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