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31" w:rsidRPr="00840EC2" w:rsidRDefault="00F83831" w:rsidP="00F83831">
      <w:pPr>
        <w:spacing w:after="0" w:line="456" w:lineRule="auto"/>
        <w:jc w:val="center"/>
        <w:rPr>
          <w:rFonts w:asciiTheme="majorBidi" w:hAnsiTheme="majorBidi" w:cstheme="majorBidi"/>
          <w:b/>
          <w:bCs/>
          <w:sz w:val="28"/>
          <w:szCs w:val="28"/>
        </w:rPr>
      </w:pPr>
      <w:r w:rsidRPr="00E6010C">
        <w:rPr>
          <w:rFonts w:asciiTheme="majorBidi" w:hAnsiTheme="majorBidi" w:cstheme="majorBidi"/>
          <w:b/>
          <w:bCs/>
          <w:sz w:val="28"/>
          <w:szCs w:val="28"/>
        </w:rPr>
        <w:t>BAB II</w:t>
      </w:r>
      <w:r>
        <w:rPr>
          <w:rFonts w:asciiTheme="majorBidi" w:hAnsiTheme="majorBidi" w:cstheme="majorBidi"/>
          <w:b/>
          <w:bCs/>
          <w:sz w:val="28"/>
          <w:szCs w:val="28"/>
        </w:rPr>
        <w:t>I</w:t>
      </w:r>
    </w:p>
    <w:p w:rsidR="00F83831" w:rsidRPr="00E6010C" w:rsidRDefault="00F83831" w:rsidP="00F83831">
      <w:pPr>
        <w:spacing w:after="0" w:line="456" w:lineRule="auto"/>
        <w:jc w:val="center"/>
        <w:rPr>
          <w:rFonts w:asciiTheme="majorBidi" w:hAnsiTheme="majorBidi" w:cstheme="majorBidi"/>
          <w:b/>
          <w:bCs/>
          <w:sz w:val="28"/>
          <w:szCs w:val="28"/>
        </w:rPr>
      </w:pPr>
      <w:r w:rsidRPr="00E6010C">
        <w:rPr>
          <w:rFonts w:asciiTheme="majorBidi" w:eastAsia="Times New Roman" w:hAnsiTheme="majorBidi" w:cstheme="majorBidi"/>
          <w:b/>
          <w:bCs/>
          <w:sz w:val="28"/>
          <w:szCs w:val="28"/>
        </w:rPr>
        <w:t>BIOGRAFI DAN PEMIKIRAN QURAISY SHIHAB</w:t>
      </w:r>
    </w:p>
    <w:p w:rsidR="00F83831" w:rsidRPr="003A6625" w:rsidRDefault="00F83831" w:rsidP="00F83831">
      <w:pPr>
        <w:pStyle w:val="ListParagraph"/>
        <w:numPr>
          <w:ilvl w:val="0"/>
          <w:numId w:val="1"/>
        </w:numPr>
        <w:spacing w:before="100" w:beforeAutospacing="1" w:after="0" w:line="456" w:lineRule="auto"/>
        <w:ind w:left="357" w:hanging="357"/>
        <w:contextualSpacing w:val="0"/>
        <w:jc w:val="both"/>
        <w:rPr>
          <w:rFonts w:asciiTheme="majorBidi" w:hAnsiTheme="majorBidi" w:cstheme="majorBidi"/>
          <w:b/>
          <w:bCs/>
          <w:sz w:val="24"/>
          <w:szCs w:val="24"/>
        </w:rPr>
      </w:pPr>
      <w:r w:rsidRPr="003A6625">
        <w:rPr>
          <w:rFonts w:asciiTheme="majorBidi" w:hAnsiTheme="majorBidi" w:cstheme="majorBidi"/>
          <w:b/>
          <w:bCs/>
          <w:sz w:val="24"/>
          <w:szCs w:val="24"/>
        </w:rPr>
        <w:t>Riwayat Hidup Quraisy Shihab</w:t>
      </w:r>
    </w:p>
    <w:p w:rsidR="00F83831" w:rsidRDefault="00F83831" w:rsidP="00F8383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Muhammad Quraish Shihab lahir di Rappang, Sulawesi Silatan, pada 16 Februari 1944. Setelah menyelesaikan pendidikan dasarnya di Ujung  Pandang, beliau melanjutkan pendidikan menegahnya di Malang, sambil “nyantri” di pondok  pesantren  Darul-Hadits  Al- Faqihiyyah, beliau juga berasal dari keturunan keluarga arab yang terpelajar. Ayahnya  Abadurrahman Shihab(1905-1986) adalah lulusan jami’atul Khair Jakarata, sebuah lembaga  pendidikan  Islam tertua di Indonesia  yang mengedepankan gagasan–gagasan  Islam modern.  </w:t>
      </w:r>
    </w:p>
    <w:p w:rsidR="00F83831" w:rsidRDefault="00F83831" w:rsidP="00F8383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Quraish Shihab, minat ayahnya terhadap tafsir AL-Qur’an sangatlah besar sehingga walaupun sibuk berwirawasta, beliau menyisihkan waktunya untuk berdakwah  dan mengajar, baik di masjid maupun di perguruan tinggi, bahkan sebagian harta benar-benar digunakan untuk kepentinan ilmu.baik dengan cara menyumbangkan buku-buku bacan maupun membiayai lembaga-lembaga pendidikan-pendidikan. Kecintaan sang ayah terhadap ilmu inilah yang kemudian mendorong Quraish Shihab dalam setudynya.  Sejak kecil, Quraish Shihab  telah menjalani pengumpulan dan kecintaan terhadap Al- Qur’an. Pada usia 6-7 tahun, oleh ayahnya,  seingga beliau  seyogyanya  mengikuti  pengajian  Al- Qur’an  yang </w:t>
      </w:r>
      <w:r>
        <w:rPr>
          <w:rFonts w:asciiTheme="majorBidi" w:hAnsiTheme="majorBidi" w:cstheme="majorBidi"/>
          <w:sz w:val="24"/>
          <w:szCs w:val="24"/>
        </w:rPr>
        <w:lastRenderedPageBreak/>
        <w:t>diadakan ayahnya  sendiri. pada waktu itu selain mengajarkan  membaca  Al- Qur’an  ayahnya juga menguraikan  secara sepintas kisah- kisah Al- Qur’an, Di sinilah  menurut  Quraish Shihab, benih-benih kecintaanya kepada Al- Qur’an mulai tumbuh.</w:t>
      </w:r>
      <w:r>
        <w:rPr>
          <w:rStyle w:val="FootnoteReference"/>
          <w:rFonts w:asciiTheme="majorBidi" w:hAnsiTheme="majorBidi" w:cstheme="majorBidi"/>
          <w:sz w:val="24"/>
          <w:szCs w:val="24"/>
        </w:rPr>
        <w:footnoteReference w:id="1"/>
      </w:r>
    </w:p>
    <w:p w:rsidR="00F83831" w:rsidRDefault="00F83831" w:rsidP="00F8383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tahun 1958, beliau berangkat ke Kairo, Mesir, dan diterima di kelas II Tsanawiyah AL-Azhar.  Pada tahun 1967, beliau meraih gelar Lc (S-1) pada  Fakultas Ushuluddin  Jurusan  Tafsir  dan Hadits Universitas AL- Azhar. </w:t>
      </w:r>
      <w:r>
        <w:rPr>
          <w:rStyle w:val="FootnoteReference"/>
          <w:rFonts w:asciiTheme="majorBidi" w:hAnsiTheme="majorBidi" w:cstheme="majorBidi"/>
          <w:sz w:val="24"/>
          <w:szCs w:val="24"/>
        </w:rPr>
        <w:footnoteReference w:id="2"/>
      </w:r>
      <w:r>
        <w:rPr>
          <w:rFonts w:asciiTheme="majorBidi" w:hAnsiTheme="majorBidi" w:cstheme="majorBidi"/>
          <w:sz w:val="24"/>
          <w:szCs w:val="24"/>
        </w:rPr>
        <w:t>Kemudian beliau melanjutkan kembali  pendidikanya  di Fakultas  yang sama, dan pada tahun 1969  meraih gelar MA untuk  spesialisasi  bidang tafsir Al- Qur’an  dengan tesis berjudul Al- I’jaz Al- Tasyri’I li Al- Qur’an  Al- Karim. sepulangnya dari Mesir, lalu ke Ujung Pandang, di situ, Quraish Shihab dipercayakan untuk memegang amanah wakil Rektor bidang akademis dan kemahasiswaan  pada IAIN Alauddin, Ujung Pajang. Selain itu, beliau juga diserahi jabatan-jabatan lain, baik di dalam kampus seperti Koordinator  Perguruan  Tinggi  Swasta(Wilayah VII Indonesia Bagian Timur), maupun di luar kampus seperti pembantu Pimpinan  Kepolisian  Indonesia Timur dalam  bidang pembinaan  mental. Selama di Ujung Pandang ini, beliau juga  sempat melakukan berbagai penelitian ; antara lain, penelitian dengan  tema “penerapan Kerukunan  Hidup  Beragama di Indonesia Timur”(1975) dan “Masalah Wakaf  Sulawesi  Silatan”(1978).</w:t>
      </w:r>
    </w:p>
    <w:p w:rsidR="00F83831" w:rsidRDefault="00F83831" w:rsidP="00F83831">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Pada tahun 1980, Quraish Shihab kembali lagi ke Kairo dan melanjutkan  pendidikanya di almamaternya yang sama, Universitas  Al- Azhar. Pada tahun 1982, dengan disertasi berjudul Nazhm Al- Durar  li Al- Biqa’iy, Tahqiq wa Dirasah, beliau berhasil meraih  gelar doctor dalam Ilmu-ilmu  Al- Qur’an  dengan  yudisium Summa Cum Laude disertai penghargaan tingkat I( mumtaz ma’a martabat  al- syaraf  al- ‘ula).</w:t>
      </w:r>
      <w:r>
        <w:rPr>
          <w:rStyle w:val="FootnoteReference"/>
          <w:rFonts w:asciiTheme="majorBidi" w:hAnsiTheme="majorBidi" w:cstheme="majorBidi"/>
          <w:sz w:val="24"/>
          <w:szCs w:val="24"/>
        </w:rPr>
        <w:footnoteReference w:id="3"/>
      </w:r>
    </w:p>
    <w:p w:rsidR="00F83831" w:rsidRDefault="00F83831" w:rsidP="00F83831">
      <w:pPr>
        <w:spacing w:after="0" w:line="456" w:lineRule="auto"/>
        <w:jc w:val="both"/>
        <w:rPr>
          <w:rFonts w:asciiTheme="majorBidi" w:hAnsiTheme="majorBidi" w:cstheme="majorBidi"/>
          <w:sz w:val="24"/>
          <w:szCs w:val="24"/>
        </w:rPr>
      </w:pPr>
      <w:r>
        <w:rPr>
          <w:rFonts w:asciiTheme="majorBidi" w:hAnsiTheme="majorBidi" w:cstheme="majorBidi"/>
          <w:sz w:val="24"/>
          <w:szCs w:val="24"/>
        </w:rPr>
        <w:tab/>
        <w:t>Sekembalinya  ke Indonesia, sejak tahun 1984, Quraisyh Shihab ditugaskan  di Fakulas Ushuluddin  dan Fakultas  Pasca–Serjana  IAIN  Syarif Hidayatullah, Jakarta.  Dan manjadi dosen  dalam program  pascasarjana di insitut yang sama.</w:t>
      </w:r>
      <w:r>
        <w:rPr>
          <w:rStyle w:val="FootnoteReference"/>
          <w:rFonts w:asciiTheme="majorBidi" w:hAnsiTheme="majorBidi" w:cstheme="majorBidi"/>
          <w:sz w:val="24"/>
          <w:szCs w:val="24"/>
        </w:rPr>
        <w:footnoteReference w:id="4"/>
      </w:r>
      <w:r>
        <w:rPr>
          <w:rFonts w:asciiTheme="majorBidi" w:hAnsiTheme="majorBidi" w:cstheme="majorBidi"/>
          <w:sz w:val="24"/>
          <w:szCs w:val="24"/>
        </w:rPr>
        <w:t>Selain itu, belaiu juga  dipercayakan  untuk menduduki berbagai jabatan. Antara lain: Ketua  Majlis  Ulama  Indonesia (MUI) pusat (sejak 1989); Anggota  Lajnah  Pentashih Al- Qur’an Depertemen  Agama(sejak tahun 1989); Anggota  Badan  Pertimbangan  Pendidikan  Nasional (sejak tahun 1989), dan Ketua lembaga  Pengembangan.</w:t>
      </w:r>
    </w:p>
    <w:p w:rsidR="00F83831" w:rsidRPr="00AD7A0A" w:rsidRDefault="00F83831" w:rsidP="00F83831">
      <w:pPr>
        <w:pStyle w:val="ListParagraph"/>
        <w:numPr>
          <w:ilvl w:val="0"/>
          <w:numId w:val="1"/>
        </w:numPr>
        <w:tabs>
          <w:tab w:val="left" w:pos="1515"/>
        </w:tabs>
        <w:spacing w:before="120" w:after="120" w:line="456" w:lineRule="auto"/>
        <w:ind w:left="357" w:hanging="357"/>
        <w:jc w:val="both"/>
        <w:rPr>
          <w:rFonts w:asciiTheme="majorBidi" w:hAnsiTheme="majorBidi" w:cstheme="majorBidi"/>
          <w:b/>
          <w:bCs/>
          <w:sz w:val="24"/>
          <w:szCs w:val="24"/>
        </w:rPr>
      </w:pPr>
      <w:r w:rsidRPr="00AD7A0A">
        <w:rPr>
          <w:rFonts w:asciiTheme="majorBidi" w:hAnsiTheme="majorBidi" w:cstheme="majorBidi"/>
          <w:b/>
          <w:bCs/>
          <w:sz w:val="24"/>
          <w:szCs w:val="24"/>
        </w:rPr>
        <w:t>Keperibadaian  Quraisy Shihab</w:t>
      </w:r>
    </w:p>
    <w:p w:rsidR="00F83831" w:rsidRDefault="00F83831" w:rsidP="00F83831">
      <w:pPr>
        <w:spacing w:after="0" w:line="456" w:lineRule="auto"/>
        <w:jc w:val="both"/>
        <w:rPr>
          <w:rFonts w:asciiTheme="majorBidi" w:hAnsiTheme="majorBidi" w:cstheme="majorBidi"/>
          <w:sz w:val="24"/>
          <w:szCs w:val="24"/>
        </w:rPr>
      </w:pPr>
      <w:r>
        <w:rPr>
          <w:rFonts w:asciiTheme="majorBidi" w:hAnsiTheme="majorBidi" w:cstheme="majorBidi"/>
          <w:sz w:val="24"/>
          <w:szCs w:val="24"/>
        </w:rPr>
        <w:t xml:space="preserve">          Dalam menggambarkan kepribadaian secara ilmiyah, para Akhli psikologis, mencoba menunjukan  karakteristik atau ciri-ciri  terpenting  dari tingkah laku  intividu yang dampak  dalam  kehidupannya. ciri-ciri  khusus  dari tingkah laku  intividu  itu  disebut ciri-ciri  kepribadian (personalitiy </w:t>
      </w:r>
      <w:r>
        <w:rPr>
          <w:rFonts w:asciiTheme="majorBidi" w:hAnsiTheme="majorBidi" w:cstheme="majorBidi"/>
          <w:sz w:val="24"/>
          <w:szCs w:val="24"/>
        </w:rPr>
        <w:lastRenderedPageBreak/>
        <w:t>traits). Suatu ciri keperibadian dapat  didefinisikan  sebagai  suatu kualitas  tingkah  laku  seorang  yang sudah  menjadi  karateristik  atau sifat-sifat khas  dan unik  dalam seluruh  kegiatan individu,  dan ciri tersebut  bersifat menetap.</w:t>
      </w:r>
    </w:p>
    <w:p w:rsidR="00F83831" w:rsidRDefault="00F83831" w:rsidP="00F83831">
      <w:pPr>
        <w:spacing w:after="0" w:line="456" w:lineRule="auto"/>
        <w:jc w:val="both"/>
        <w:rPr>
          <w:rFonts w:asciiTheme="majorBidi" w:hAnsiTheme="majorBidi" w:cstheme="majorBidi"/>
          <w:sz w:val="24"/>
          <w:szCs w:val="24"/>
        </w:rPr>
      </w:pPr>
      <w:r>
        <w:rPr>
          <w:rFonts w:asciiTheme="majorBidi" w:hAnsiTheme="majorBidi" w:cstheme="majorBidi"/>
          <w:sz w:val="24"/>
          <w:szCs w:val="24"/>
        </w:rPr>
        <w:tab/>
        <w:t>Karena kepribadian  manusia  pada garis besarnya  ada yang positif dan  ada pula  negatif, maka kedua rangkaian itu sudah tertanam pada jiwa manusia seutuhnya, dengan begitu patutlah di sadari bahwa kepribadian itu sangatlah penting. Adapun  termasuk  kedalam  ciri-ciri  kepribadian  antara lain, adalah berani (adventurous), bersemngat (energetic), jujur dalam bertindak sesuai dengan kata hati (consistencion), bertanggung jawab (responcsible),  supel dan pandai bergaul, cemendung memegang  pimpinan (asceondant), suka berbicara, gigih dalam  berusaha, rendah hati,  dan dapat dipercaya (reliable). Lebih lanjut bahwa dalam menggambarkan kepribadian  Quraish Shihab, ciri-ciri  utama tersebut perlu dilihat dengan seksama, dengan  memeperhatikan informasi–informasi, tentunya dari berbagai  sumber   baik tertulis  maupun  dari keterangan  orang-orang  yang pernah  manjadi muridnya.</w:t>
      </w:r>
      <w:r>
        <w:rPr>
          <w:rStyle w:val="FootnoteReference"/>
          <w:rFonts w:asciiTheme="majorBidi" w:hAnsiTheme="majorBidi" w:cstheme="majorBidi"/>
          <w:sz w:val="24"/>
          <w:szCs w:val="24"/>
        </w:rPr>
        <w:footnoteReference w:id="5"/>
      </w:r>
    </w:p>
    <w:p w:rsidR="00F83831" w:rsidRDefault="00F83831" w:rsidP="00F83831">
      <w:pPr>
        <w:spacing w:after="0" w:line="456" w:lineRule="auto"/>
        <w:jc w:val="both"/>
        <w:rPr>
          <w:rFonts w:asciiTheme="majorBidi" w:hAnsiTheme="majorBidi" w:cstheme="majorBidi"/>
          <w:sz w:val="24"/>
          <w:szCs w:val="24"/>
        </w:rPr>
      </w:pPr>
      <w:r>
        <w:rPr>
          <w:rFonts w:asciiTheme="majorBidi" w:hAnsiTheme="majorBidi" w:cstheme="majorBidi"/>
          <w:sz w:val="24"/>
          <w:szCs w:val="24"/>
        </w:rPr>
        <w:tab/>
        <w:t xml:space="preserve">Seperti  diketahui  gamaran biografi  beliau, Quraish Shihab  merupakan sosok yang sangat  gigih  dalam study, hal tersebut bias terlihat, ketika  beliau  tidak diterima  untuk daftar pertama kali  di jurusan tafsir  hadis,  lalu belaiu pun rela mngulang  satu tahun  untuk memperdalami </w:t>
      </w:r>
      <w:r>
        <w:rPr>
          <w:rFonts w:asciiTheme="majorBidi" w:hAnsiTheme="majorBidi" w:cstheme="majorBidi"/>
          <w:sz w:val="24"/>
          <w:szCs w:val="24"/>
        </w:rPr>
        <w:lastRenderedPageBreak/>
        <w:t>bahasa, dan pada akhirnya kegigihan  itu  membuat Quriash  semakin  paham  dan tertarik  untuk mendalami ilmu- ilmu Al- Qur’an, sehingga  mencapai perdiket  summa cumlaude (penghargaan tingkat pertama). Dalam kajian ilmu Al- Qur’an, dan semngat yang dimilikinya selalu meningkat sampai pulng ke tanah air dengan cara berkiprah  atau  membumikan Al –Qur’an”. Quraish  Shihab juga diketahui  sebagai seorang  yang memiliki rasa taggung jawab yang besar. Hal itu terlihat, antara lain kepedulianya untuk  melakukan restornasi  terhadap IAIN Jakarta. Dalam kesempatan serah terima jabatan rector  dari Drs. Ahmad Syadzali pada dirinya. Beberapa jabatan  penting seperti rector, mentri agama, duta besar  luar biasa  dan berkuasa penuh untuk republic Mesir pada tahun 1999-2002. Dan masih banyak yang lainnya.</w:t>
      </w:r>
    </w:p>
    <w:p w:rsidR="00F83831" w:rsidRDefault="00F83831" w:rsidP="00F83831">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Tentulah sulit diperoleh seseorang, jika sesorang itu tidak memiliki sifat terpercaya (amanah) yang memandai.  Sifat amanah ini dimiliki Quraish Shihab, selain merupakan hasil pendidikan  semejak  kecil  yang di tanamkan kedua orang tuanya dan tentu saja karena pergaulan  yang intens  dengan Al- Qur’an  sebagai landasan  dan pedoman hidup.</w:t>
      </w:r>
      <w:r>
        <w:rPr>
          <w:rStyle w:val="FootnoteReference"/>
          <w:rFonts w:asciiTheme="majorBidi" w:hAnsiTheme="majorBidi" w:cstheme="majorBidi"/>
          <w:sz w:val="24"/>
          <w:szCs w:val="24"/>
        </w:rPr>
        <w:footnoteReference w:id="6"/>
      </w:r>
    </w:p>
    <w:p w:rsidR="00F83831" w:rsidRPr="00AD7A0A" w:rsidRDefault="00F83831" w:rsidP="00F83831">
      <w:pPr>
        <w:pStyle w:val="ListParagraph"/>
        <w:numPr>
          <w:ilvl w:val="0"/>
          <w:numId w:val="1"/>
        </w:numPr>
        <w:tabs>
          <w:tab w:val="left" w:pos="1515"/>
        </w:tabs>
        <w:spacing w:after="0" w:line="456" w:lineRule="auto"/>
        <w:ind w:left="360"/>
        <w:jc w:val="both"/>
        <w:rPr>
          <w:rFonts w:asciiTheme="majorBidi" w:hAnsiTheme="majorBidi" w:cstheme="majorBidi"/>
          <w:b/>
          <w:bCs/>
          <w:sz w:val="24"/>
          <w:szCs w:val="24"/>
        </w:rPr>
      </w:pPr>
      <w:r w:rsidRPr="00AD7A0A">
        <w:rPr>
          <w:rFonts w:asciiTheme="majorBidi" w:hAnsiTheme="majorBidi" w:cstheme="majorBidi"/>
          <w:b/>
          <w:bCs/>
          <w:sz w:val="24"/>
          <w:szCs w:val="24"/>
        </w:rPr>
        <w:t>Pemikiran dan Karya Quraisy Shihab</w:t>
      </w:r>
    </w:p>
    <w:p w:rsidR="00F83831" w:rsidRDefault="00F83831" w:rsidP="00F83831">
      <w:pPr>
        <w:pStyle w:val="ListParagraph"/>
        <w:tabs>
          <w:tab w:val="left" w:pos="1515"/>
        </w:tabs>
        <w:spacing w:after="0" w:line="456" w:lineRule="auto"/>
        <w:ind w:left="0"/>
        <w:jc w:val="both"/>
        <w:rPr>
          <w:rFonts w:asciiTheme="majorBidi" w:hAnsiTheme="majorBidi" w:cstheme="majorBidi"/>
          <w:sz w:val="24"/>
          <w:szCs w:val="24"/>
        </w:rPr>
      </w:pPr>
      <w:r>
        <w:rPr>
          <w:rFonts w:asciiTheme="majorBidi" w:hAnsiTheme="majorBidi" w:cstheme="majorBidi"/>
          <w:sz w:val="24"/>
          <w:szCs w:val="24"/>
        </w:rPr>
        <w:t xml:space="preserve">                Quraish shihab adalah seorang  cendikiawan  yang  sangat produktif. Hal tersebut terlihat dari beberapa tulisanya  baik yang tersebar di </w:t>
      </w:r>
      <w:r>
        <w:rPr>
          <w:rFonts w:asciiTheme="majorBidi" w:hAnsiTheme="majorBidi" w:cstheme="majorBidi"/>
          <w:sz w:val="24"/>
          <w:szCs w:val="24"/>
        </w:rPr>
        <w:lastRenderedPageBreak/>
        <w:t>surat  kabar seperti harian  Republika, maupun tulisan dalam bentuk buku. Diantara karya tulis yang telah di publikasikannya antara lain adalah:</w:t>
      </w:r>
    </w:p>
    <w:p w:rsidR="00F83831" w:rsidRDefault="00F83831" w:rsidP="00F83831">
      <w:pPr>
        <w:pStyle w:val="ListParagraph"/>
        <w:numPr>
          <w:ilvl w:val="0"/>
          <w:numId w:val="2"/>
        </w:numPr>
        <w:tabs>
          <w:tab w:val="left" w:pos="1515"/>
        </w:tabs>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Membumikan al- Qur’an : fungsi dan peran wahyu  dalam kekehidupan masyarakat, Mizan, bandung, 1992.</w:t>
      </w:r>
    </w:p>
    <w:p w:rsidR="00F83831" w:rsidRPr="00BF31A1" w:rsidRDefault="00F83831" w:rsidP="00F83831">
      <w:pPr>
        <w:pStyle w:val="ListParagraph"/>
        <w:numPr>
          <w:ilvl w:val="0"/>
          <w:numId w:val="2"/>
        </w:numPr>
        <w:tabs>
          <w:tab w:val="left" w:pos="1515"/>
        </w:tabs>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Sudy tafsir al- manar, pustaka Hidayah, 1994.</w:t>
      </w:r>
    </w:p>
    <w:p w:rsidR="00F83831" w:rsidRDefault="00F83831" w:rsidP="00F83831">
      <w:pPr>
        <w:pStyle w:val="ListParagraph"/>
        <w:numPr>
          <w:ilvl w:val="0"/>
          <w:numId w:val="2"/>
        </w:numPr>
        <w:tabs>
          <w:tab w:val="left" w:pos="1515"/>
        </w:tabs>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Wawasan al- Qur’an, Mizan bandung, 1996.</w:t>
      </w:r>
    </w:p>
    <w:p w:rsidR="00F83831" w:rsidRDefault="00F83831" w:rsidP="00F83831">
      <w:pPr>
        <w:pStyle w:val="ListParagraph"/>
        <w:numPr>
          <w:ilvl w:val="0"/>
          <w:numId w:val="2"/>
        </w:numPr>
        <w:tabs>
          <w:tab w:val="left" w:pos="1515"/>
        </w:tabs>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Lentera hati: kisah dan hikmah kehidupan, Mizan, 1994.</w:t>
      </w:r>
    </w:p>
    <w:p w:rsidR="00F83831" w:rsidRDefault="00F83831" w:rsidP="00F83831">
      <w:pPr>
        <w:pStyle w:val="ListParagraph"/>
        <w:numPr>
          <w:ilvl w:val="0"/>
          <w:numId w:val="2"/>
        </w:numPr>
        <w:tabs>
          <w:tab w:val="left" w:pos="1515"/>
        </w:tabs>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Tafsir  al- Qur’an  al- karim: Tafsir surat-surat pendek, Pustaka Hidayah, 1997.</w:t>
      </w:r>
    </w:p>
    <w:p w:rsidR="00F83831" w:rsidRDefault="00F83831" w:rsidP="00F83831">
      <w:pPr>
        <w:pStyle w:val="ListParagraph"/>
        <w:numPr>
          <w:ilvl w:val="0"/>
          <w:numId w:val="2"/>
        </w:numPr>
        <w:tabs>
          <w:tab w:val="left" w:pos="1515"/>
        </w:tabs>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Fatwa-fatwa Quraish Shihab  sekitar Qur’an dan Hadits, Mizan, 1999.</w:t>
      </w:r>
    </w:p>
    <w:p w:rsidR="00F83831" w:rsidRDefault="00F83831" w:rsidP="00F83831">
      <w:pPr>
        <w:pStyle w:val="ListParagraph"/>
        <w:numPr>
          <w:ilvl w:val="0"/>
          <w:numId w:val="2"/>
        </w:numPr>
        <w:tabs>
          <w:tab w:val="left" w:pos="1515"/>
        </w:tabs>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Untaian permata buat anakku:  pesan al- Qur’an Untuk  pembelai, Al- bayan, 1995</w:t>
      </w:r>
    </w:p>
    <w:p w:rsidR="00F83831" w:rsidRDefault="00F83831" w:rsidP="00F83831">
      <w:pPr>
        <w:pStyle w:val="ListParagraph"/>
        <w:numPr>
          <w:ilvl w:val="0"/>
          <w:numId w:val="2"/>
        </w:numPr>
        <w:tabs>
          <w:tab w:val="left" w:pos="180"/>
        </w:tabs>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Tafsir  AL- Misbah, Lentera Hati.</w:t>
      </w:r>
    </w:p>
    <w:p w:rsidR="00F83831" w:rsidRDefault="00F83831" w:rsidP="00F83831">
      <w:pPr>
        <w:pStyle w:val="ListParagraph"/>
        <w:numPr>
          <w:ilvl w:val="0"/>
          <w:numId w:val="2"/>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Yang tersembuyi</w:t>
      </w:r>
      <w:r>
        <w:rPr>
          <w:rStyle w:val="FootnoteReference"/>
          <w:rFonts w:asciiTheme="majorBidi" w:hAnsiTheme="majorBidi" w:cstheme="majorBidi"/>
          <w:sz w:val="24"/>
          <w:szCs w:val="24"/>
        </w:rPr>
        <w:footnoteReference w:id="7"/>
      </w:r>
    </w:p>
    <w:p w:rsidR="00F83831" w:rsidRDefault="00F83831" w:rsidP="00F83831">
      <w:pPr>
        <w:pStyle w:val="ListParagraph"/>
        <w:tabs>
          <w:tab w:val="left" w:pos="360"/>
        </w:tabs>
        <w:spacing w:after="0" w:line="456"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Sebelum menjelskan bagaimana  pemikiran  Quraish Shihab di bidang tafsir al- Qur’an, terlebih dahulu  perlu di jelaskan  beberapa factor atau kondisi  yang menyertainya  sehingga beliau lebih memilih  kajian tafsir  sebagai sepesialisasi keilmuannya. </w:t>
      </w:r>
    </w:p>
    <w:p w:rsidR="00F83831" w:rsidRDefault="00F83831" w:rsidP="00F83831">
      <w:pPr>
        <w:pStyle w:val="ListParagraph"/>
        <w:tabs>
          <w:tab w:val="left" w:pos="180"/>
        </w:tabs>
        <w:spacing w:after="0" w:line="456"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Dari  catatan Biogarafi Quraish shihab sekurang-kurangnya  ada dua hal  yang bisa kita dapatkan untuk menganalisis realitas Quraish shihab yang </w:t>
      </w:r>
      <w:r>
        <w:rPr>
          <w:rFonts w:asciiTheme="majorBidi" w:hAnsiTheme="majorBidi" w:cstheme="majorBidi"/>
          <w:sz w:val="24"/>
          <w:szCs w:val="24"/>
        </w:rPr>
        <w:lastRenderedPageBreak/>
        <w:t>mempengaruhi pemikirannya di bidang tafsir. Kondisi-kondisi  tersebut  antara lain adalah: pertama, kedudukan orang tuanya yang menyertai  masa- masa awal kehidupanya, seingga menumbuhkan kecintaan sang anak  pada kajian al- Qur’an.</w:t>
      </w:r>
      <w:r>
        <w:rPr>
          <w:rStyle w:val="FootnoteReference"/>
          <w:rFonts w:asciiTheme="majorBidi" w:hAnsiTheme="majorBidi" w:cstheme="majorBidi"/>
          <w:sz w:val="24"/>
          <w:szCs w:val="24"/>
        </w:rPr>
        <w:footnoteReference w:id="8"/>
      </w:r>
    </w:p>
    <w:p w:rsidR="00F83831" w:rsidRDefault="00F83831" w:rsidP="00F83831">
      <w:pPr>
        <w:pStyle w:val="ListParagraph"/>
        <w:tabs>
          <w:tab w:val="left" w:pos="180"/>
        </w:tabs>
        <w:spacing w:after="0" w:line="456"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Kedua, faktor yang mempengaruhi  pemikirannya adalah faktor pendidikan.  Disamping orang tuanya yang akhli tafsir, sebagaimana telah kita simak secara seksama dalam Biografi beliau,  kemudian factor pendidikan Quraish Shihab  juga banyak mempengaruhi  terhadap  pemikiranya  di bidang tafsir. </w:t>
      </w:r>
    </w:p>
    <w:p w:rsidR="00F83831" w:rsidRDefault="00F83831" w:rsidP="00F83831">
      <w:pPr>
        <w:pStyle w:val="ListParagraph"/>
        <w:tabs>
          <w:tab w:val="left" w:pos="180"/>
        </w:tabs>
        <w:spacing w:after="0" w:line="456"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Dari  faktor  pendidikan  diatas jelaslah  keilmuan Quraish Shihab dibidang tafsir  al- Qur’an  tak di ragukan laggi. Hal ini  sebagaimana  di katakana Haward Venderspiel, pendidikan yang dilakukan  Quraish Shihab hingga beliau  mengkhususkan  diri  pada sepesialisasi  ilmu- ilmu  al- Qur’an  dan tafsir merupakan  pendidikan terarah  hingga beliau terdidik lebih baik  di bandingkan penulis – penulis  tafsir  yang terdapat dalam popular indonisian Literature of the Qoran.</w:t>
      </w:r>
      <w:r>
        <w:rPr>
          <w:rStyle w:val="FootnoteReference"/>
          <w:rFonts w:asciiTheme="majorBidi" w:hAnsiTheme="majorBidi" w:cstheme="majorBidi"/>
          <w:sz w:val="24"/>
          <w:szCs w:val="24"/>
        </w:rPr>
        <w:footnoteReference w:id="9"/>
      </w:r>
    </w:p>
    <w:p w:rsidR="00F83831" w:rsidRDefault="00F83831" w:rsidP="00F83831">
      <w:pPr>
        <w:pStyle w:val="ListParagraph"/>
        <w:tabs>
          <w:tab w:val="left" w:pos="180"/>
          <w:tab w:val="left" w:pos="270"/>
        </w:tabs>
        <w:spacing w:after="0" w:line="456" w:lineRule="auto"/>
        <w:ind w:left="0" w:firstLine="709"/>
        <w:jc w:val="both"/>
        <w:rPr>
          <w:rFonts w:asciiTheme="majorBidi" w:hAnsiTheme="majorBidi" w:cstheme="majorBidi"/>
          <w:sz w:val="24"/>
          <w:szCs w:val="24"/>
        </w:rPr>
      </w:pPr>
      <w:r>
        <w:rPr>
          <w:rFonts w:asciiTheme="majorBidi" w:hAnsiTheme="majorBidi" w:cstheme="majorBidi"/>
          <w:sz w:val="24"/>
          <w:szCs w:val="24"/>
        </w:rPr>
        <w:t>Setelah  beberapa faktor yang mempengaruhi  pemikiranya  terhadap kajian tafsir al- Qur’an yang menjadi spesialisasinya, disini akan coba di paparkan beberapa pemikiran beliautentang tafsir.</w:t>
      </w:r>
    </w:p>
    <w:p w:rsidR="00F83831" w:rsidRDefault="00F83831" w:rsidP="00F83831">
      <w:pPr>
        <w:pStyle w:val="ListParagraph"/>
        <w:tabs>
          <w:tab w:val="left" w:pos="0"/>
        </w:tabs>
        <w:spacing w:after="0" w:line="456" w:lineRule="auto"/>
        <w:ind w:left="0"/>
        <w:jc w:val="both"/>
        <w:rPr>
          <w:rFonts w:asciiTheme="majorBidi" w:hAnsiTheme="majorBidi" w:cstheme="majorBidi"/>
          <w:sz w:val="24"/>
          <w:szCs w:val="24"/>
        </w:rPr>
      </w:pPr>
      <w:r>
        <w:rPr>
          <w:rFonts w:asciiTheme="majorBidi" w:hAnsiTheme="majorBidi" w:cstheme="majorBidi"/>
          <w:sz w:val="24"/>
          <w:szCs w:val="24"/>
        </w:rPr>
        <w:t xml:space="preserve">       Dalam Diskursus Ulim al-Qur’an tafsir menurut Quraish Shihab berfungsi sebagai  anak kunci untuk membuka khazanah al- Qur’an, yang </w:t>
      </w:r>
      <w:r>
        <w:rPr>
          <w:rFonts w:asciiTheme="majorBidi" w:hAnsiTheme="majorBidi" w:cstheme="majorBidi"/>
          <w:sz w:val="24"/>
          <w:szCs w:val="24"/>
        </w:rPr>
        <w:lastRenderedPageBreak/>
        <w:t>berarti sebuah pintu yang tertutup dan sulit di buka tanpa kuncinya. Dengan demikian, alangkah  penting  dan tingginya  kedudukan tafsir itu. Bahkan ketika  berbicara  mengenai tingginya kedudukan tafsir tersebut Quraish shihab mengemukakan beberapa alasan. Setidaknya ada tiga  alasan yang dikemukakan yang membuat dan menetukan tingginya (signifikansi) tafsir, yaitu dikatakan b</w:t>
      </w:r>
      <w:bookmarkStart w:id="0" w:name="_GoBack"/>
      <w:bookmarkEnd w:id="0"/>
      <w:r>
        <w:rPr>
          <w:rFonts w:asciiTheme="majorBidi" w:hAnsiTheme="majorBidi" w:cstheme="majorBidi"/>
          <w:sz w:val="24"/>
          <w:szCs w:val="24"/>
        </w:rPr>
        <w:t>ahwa yang pertama bidang yang menjadi kajian adalah ayat-ayat kalam  yang merupakan sumber  segala ilmu  keagaman dan keutamaan, baik di dalamnya terhimpun berbagai aturan atau kebahagian dan kesedihan umat manusia pada uamumnya.</w:t>
      </w:r>
    </w:p>
    <w:p w:rsidR="00F83831" w:rsidRDefault="00F83831" w:rsidP="00F83831">
      <w:pPr>
        <w:pStyle w:val="ListParagraph"/>
        <w:tabs>
          <w:tab w:val="left" w:pos="0"/>
        </w:tabs>
        <w:spacing w:after="0" w:line="456" w:lineRule="auto"/>
        <w:ind w:left="0"/>
        <w:jc w:val="both"/>
        <w:rPr>
          <w:rFonts w:asciiTheme="majorBidi" w:hAnsiTheme="majorBidi" w:cstheme="majorBidi"/>
          <w:sz w:val="24"/>
          <w:szCs w:val="24"/>
        </w:rPr>
      </w:pPr>
      <w:r>
        <w:rPr>
          <w:rFonts w:asciiTheme="majorBidi" w:hAnsiTheme="majorBidi" w:cstheme="majorBidi"/>
          <w:sz w:val="24"/>
          <w:szCs w:val="24"/>
        </w:rPr>
        <w:tab/>
        <w:t>Kedua tujuannya  adalah untuk mendorong  manusia berpegang teguh  dengan al- Qur’an dalam usahanya  memperoleh kebahagiaan yang sejati. Dilihat dari keputuhanya punsangat Nampak bahwa  kesempurnaan  mengenai bermacam- macam persoalan kehidupan  ini ilmu syari’at dan pengetahuan  mengenai seluk beluk agama. Hal ini sangat tergantung pada ilmu pengetahuan tentang al-Qur’an.</w:t>
      </w:r>
    </w:p>
    <w:p w:rsidR="00F83831" w:rsidRDefault="00F83831" w:rsidP="00F83831">
      <w:pPr>
        <w:pStyle w:val="ListParagraph"/>
        <w:tabs>
          <w:tab w:val="left" w:pos="270"/>
        </w:tabs>
        <w:spacing w:after="0" w:line="456" w:lineRule="auto"/>
        <w:ind w:left="0"/>
        <w:jc w:val="both"/>
        <w:rPr>
          <w:rFonts w:asciiTheme="majorBidi" w:hAnsiTheme="majorBidi" w:cstheme="majorBidi"/>
          <w:sz w:val="24"/>
          <w:szCs w:val="24"/>
        </w:rPr>
      </w:pPr>
      <w:r>
        <w:rPr>
          <w:rFonts w:asciiTheme="majorBidi" w:hAnsiTheme="majorBidi" w:cstheme="majorBidi"/>
          <w:sz w:val="24"/>
          <w:szCs w:val="24"/>
        </w:rPr>
        <w:t xml:space="preserve">         Menyadari  begitu luas makna yang terkandung  di dalam al- Qur’an, baik yang menyangkut makna- makna yang tersirat di balik yang tersurat, Quraish Shihab mengutip pendapat Abdulah Daraz seorang pemikir kontempoler mengatakan”. Apabila anda  membaca al- Qur’an maknanya akan jelas dihadapan anda. Tetapi bila anda membacanya  sekali lagi anda </w:t>
      </w:r>
      <w:r>
        <w:rPr>
          <w:rFonts w:asciiTheme="majorBidi" w:hAnsiTheme="majorBidi" w:cstheme="majorBidi"/>
          <w:sz w:val="24"/>
          <w:szCs w:val="24"/>
        </w:rPr>
        <w:lastRenderedPageBreak/>
        <w:t>akan menemukan pula makna- makna lain yang berbeda  dengan makna sebelumnya.</w:t>
      </w:r>
      <w:r>
        <w:rPr>
          <w:rStyle w:val="FootnoteReference"/>
          <w:rFonts w:asciiTheme="majorBidi" w:hAnsiTheme="majorBidi" w:cstheme="majorBidi"/>
          <w:sz w:val="24"/>
          <w:szCs w:val="24"/>
        </w:rPr>
        <w:footnoteReference w:id="10"/>
      </w:r>
    </w:p>
    <w:p w:rsidR="00F83831" w:rsidRPr="00D442E5" w:rsidRDefault="00F83831" w:rsidP="00F83831">
      <w:pPr>
        <w:pStyle w:val="ListParagraph"/>
        <w:numPr>
          <w:ilvl w:val="0"/>
          <w:numId w:val="1"/>
        </w:numPr>
        <w:tabs>
          <w:tab w:val="left" w:pos="1515"/>
        </w:tabs>
        <w:spacing w:after="0" w:line="456" w:lineRule="auto"/>
        <w:ind w:left="360"/>
        <w:jc w:val="both"/>
        <w:rPr>
          <w:rFonts w:asciiTheme="majorBidi" w:hAnsiTheme="majorBidi" w:cstheme="majorBidi"/>
          <w:b/>
          <w:bCs/>
          <w:sz w:val="24"/>
          <w:szCs w:val="24"/>
        </w:rPr>
      </w:pPr>
      <w:r w:rsidRPr="00D442E5">
        <w:rPr>
          <w:rFonts w:asciiTheme="majorBidi" w:hAnsiTheme="majorBidi" w:cstheme="majorBidi"/>
          <w:b/>
          <w:bCs/>
          <w:sz w:val="24"/>
          <w:szCs w:val="24"/>
        </w:rPr>
        <w:t>Sejarah  Penulisan  Tafsir Al- Misbah</w:t>
      </w:r>
    </w:p>
    <w:p w:rsidR="00F83831" w:rsidRDefault="00F83831" w:rsidP="00F8383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b/>
        <w:t>Tafsir  al-Misbah ditulis oleh Quraish Shihab di kairo pada 18 juni 1999.bisa dilihat dari kemasannya, berseri, terdiri dari beberapa volume, dan direncanakan  hingga 30 juz. Model cetakanya  ada dua bentuk: dicetak dalam  tampilan biasa, dan kedua dalam tampilan  lux dengan hard cover, sebagaimana di ungkapkan pada kata pengantar volume pertama  dalam karyanya, tetapi  kenikmatan  rohani yang terasa ketika bersama  Ayat-ayat al-Qur’an, pengantar Quraish Shihab  mengkaji, membaca, dan menulis  seingga tanpa terasa karya tafsir beliau mencapai lima belas volume.</w:t>
      </w:r>
      <w:r>
        <w:rPr>
          <w:rStyle w:val="FootnoteReference"/>
          <w:rFonts w:asciiTheme="majorBidi" w:hAnsiTheme="majorBidi" w:cstheme="majorBidi"/>
          <w:sz w:val="24"/>
          <w:szCs w:val="24"/>
        </w:rPr>
        <w:footnoteReference w:id="11"/>
      </w:r>
    </w:p>
    <w:p w:rsidR="00F83831" w:rsidRDefault="00F83831" w:rsidP="00F83831">
      <w:pPr>
        <w:pStyle w:val="ListParagraph"/>
        <w:spacing w:after="0" w:line="456" w:lineRule="auto"/>
        <w:ind w:left="0"/>
        <w:jc w:val="both"/>
        <w:rPr>
          <w:rFonts w:asciiTheme="majorBidi" w:hAnsiTheme="majorBidi" w:cstheme="majorBidi"/>
          <w:sz w:val="24"/>
          <w:szCs w:val="24"/>
          <w:lang w:val="en-US"/>
        </w:rPr>
      </w:pPr>
      <w:r>
        <w:rPr>
          <w:rFonts w:asciiTheme="majorBidi" w:hAnsiTheme="majorBidi" w:cstheme="majorBidi"/>
          <w:sz w:val="24"/>
          <w:szCs w:val="24"/>
        </w:rPr>
        <w:tab/>
        <w:t xml:space="preserve">Quraish Shihab dalam </w:t>
      </w:r>
      <w:r>
        <w:rPr>
          <w:rFonts w:asciiTheme="majorBidi" w:hAnsiTheme="majorBidi" w:cstheme="majorBidi"/>
          <w:sz w:val="24"/>
          <w:szCs w:val="24"/>
        </w:rPr>
        <w:t xml:space="preserve"> </w:t>
      </w:r>
      <w:r>
        <w:rPr>
          <w:rFonts w:asciiTheme="majorBidi" w:hAnsiTheme="majorBidi" w:cstheme="majorBidi"/>
          <w:sz w:val="24"/>
          <w:szCs w:val="24"/>
        </w:rPr>
        <w:t>merekap pendapat para ulama terkait surah dan ayat dalam tafsir al-Misbahtertara dibawah ini., Surat Az-Zumar :60-61</w:t>
      </w:r>
    </w:p>
    <w:p w:rsidR="00F83831" w:rsidRDefault="00F83831" w:rsidP="00F83831">
      <w:pPr>
        <w:pStyle w:val="ListParagraph"/>
        <w:bidi/>
        <w:spacing w:after="0" w:line="240" w:lineRule="auto"/>
        <w:ind w:left="0"/>
        <w:jc w:val="both"/>
        <w:rPr>
          <w:rFonts w:ascii="(normal text)" w:hAnsi="(normal text)"/>
          <w:rtl/>
        </w:rPr>
      </w:pP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2" w:char="F0BB"/>
      </w:r>
      <w:r>
        <w:rPr>
          <w:sz w:val="28"/>
          <w:szCs w:val="28"/>
        </w:rPr>
        <w:sym w:font="HQPB5" w:char="F075"/>
      </w:r>
      <w:r>
        <w:rPr>
          <w:sz w:val="28"/>
          <w:szCs w:val="28"/>
        </w:rPr>
        <w:sym w:font="HQPB2" w:char="F08A"/>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E8"/>
      </w:r>
      <w:r>
        <w:rPr>
          <w:sz w:val="28"/>
          <w:szCs w:val="28"/>
        </w:rPr>
        <w:sym w:font="HQPB2" w:char="F064"/>
      </w:r>
      <w:r>
        <w:rPr>
          <w:sz w:val="28"/>
          <w:szCs w:val="28"/>
        </w:rPr>
        <w:sym w:font="HQPB2" w:char="F071"/>
      </w:r>
      <w:r>
        <w:rPr>
          <w:sz w:val="28"/>
          <w:szCs w:val="28"/>
        </w:rPr>
        <w:sym w:font="HQPB4" w:char="F0E3"/>
      </w:r>
      <w:r>
        <w:rPr>
          <w:sz w:val="28"/>
          <w:szCs w:val="28"/>
        </w:rPr>
        <w:sym w:font="HQPB1" w:char="F05F"/>
      </w:r>
      <w:r>
        <w:rPr>
          <w:sz w:val="28"/>
          <w:szCs w:val="28"/>
        </w:rPr>
        <w:sym w:font="HQPB4" w:char="F0E3"/>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6F"/>
      </w:r>
      <w:r>
        <w:rPr>
          <w:sz w:val="28"/>
          <w:szCs w:val="28"/>
        </w:rPr>
        <w:sym w:font="HQPB4" w:char="F0A8"/>
      </w:r>
      <w:r>
        <w:rPr>
          <w:sz w:val="28"/>
          <w:szCs w:val="28"/>
        </w:rPr>
        <w:sym w:font="HQPB1" w:char="F08A"/>
      </w:r>
      <w:r>
        <w:rPr>
          <w:sz w:val="28"/>
          <w:szCs w:val="28"/>
        </w:rPr>
        <w:sym w:font="HQPB5" w:char="F075"/>
      </w:r>
      <w:r>
        <w:rPr>
          <w:sz w:val="28"/>
          <w:szCs w:val="28"/>
        </w:rPr>
        <w:sym w:font="HQPB2" w:char="F071"/>
      </w:r>
      <w:r>
        <w:rPr>
          <w:sz w:val="28"/>
          <w:szCs w:val="28"/>
        </w:rPr>
        <w:sym w:font="HQPB4" w:char="F0F3"/>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8"/>
      </w:r>
      <w:r>
        <w:rPr>
          <w:sz w:val="28"/>
          <w:szCs w:val="28"/>
        </w:rPr>
        <w:sym w:font="HQPB2" w:char="F059"/>
      </w:r>
      <w:r>
        <w:rPr>
          <w:sz w:val="28"/>
          <w:szCs w:val="28"/>
        </w:rPr>
        <w:sym w:font="HQPB5" w:char="F079"/>
      </w:r>
      <w:r>
        <w:rPr>
          <w:sz w:val="28"/>
          <w:szCs w:val="28"/>
        </w:rPr>
        <w:sym w:font="HQPB2" w:char="F067"/>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93"/>
      </w:r>
      <w:r>
        <w:rPr>
          <w:sz w:val="28"/>
          <w:szCs w:val="28"/>
        </w:rPr>
        <w:sym w:font="HQPB4" w:char="F059"/>
      </w:r>
      <w:r>
        <w:rPr>
          <w:sz w:val="28"/>
          <w:szCs w:val="28"/>
        </w:rPr>
        <w:sym w:font="HQPB2" w:char="F071"/>
      </w:r>
      <w:r>
        <w:rPr>
          <w:sz w:val="28"/>
          <w:szCs w:val="28"/>
        </w:rPr>
        <w:sym w:font="HQPB4" w:char="F0F7"/>
      </w:r>
      <w:r>
        <w:rPr>
          <w:sz w:val="28"/>
          <w:szCs w:val="28"/>
        </w:rPr>
        <w:sym w:font="HQPB1" w:char="F056"/>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E"/>
      </w:r>
      <w:r>
        <w:rPr>
          <w:sz w:val="28"/>
          <w:szCs w:val="28"/>
        </w:rPr>
        <w:sym w:font="HQPB1" w:char="F08E"/>
      </w:r>
      <w:r>
        <w:rPr>
          <w:sz w:val="28"/>
          <w:szCs w:val="28"/>
        </w:rPr>
        <w:sym w:font="HQPB4" w:char="F0C9"/>
      </w:r>
      <w:r>
        <w:rPr>
          <w:sz w:val="28"/>
          <w:szCs w:val="28"/>
        </w:rPr>
        <w:sym w:font="HQPB4" w:char="F069"/>
      </w:r>
      <w:r>
        <w:rPr>
          <w:sz w:val="28"/>
          <w:szCs w:val="28"/>
        </w:rPr>
        <w:sym w:font="HQPB1" w:char="F039"/>
      </w:r>
      <w:r>
        <w:rPr>
          <w:sz w:val="28"/>
          <w:szCs w:val="28"/>
        </w:rPr>
        <w:sym w:font="HQPB5" w:char="F073"/>
      </w:r>
      <w:r>
        <w:rPr>
          <w:sz w:val="28"/>
          <w:szCs w:val="28"/>
        </w:rPr>
        <w:sym w:font="HQPB2" w:char="F033"/>
      </w:r>
      <w:r>
        <w:rPr>
          <w:sz w:val="28"/>
          <w:szCs w:val="28"/>
        </w:rPr>
        <w:sym w:font="HQPB5" w:char="F074"/>
      </w:r>
      <w:r>
        <w:rPr>
          <w:sz w:val="28"/>
          <w:szCs w:val="28"/>
        </w:rPr>
        <w:sym w:font="HQPB1" w:char="F047"/>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r>
        <w:rPr>
          <w:sz w:val="28"/>
          <w:szCs w:val="28"/>
        </w:rPr>
        <w:sym w:font="HQPB2" w:char="F091"/>
      </w:r>
      <w:r>
        <w:rPr>
          <w:sz w:val="28"/>
          <w:szCs w:val="28"/>
        </w:rPr>
        <w:sym w:font="HQPB4" w:char="F0C9"/>
      </w:r>
      <w:r>
        <w:rPr>
          <w:sz w:val="28"/>
          <w:szCs w:val="28"/>
        </w:rPr>
        <w:sym w:font="HQPB4" w:char="F064"/>
      </w:r>
      <w:r>
        <w:rPr>
          <w:sz w:val="28"/>
          <w:szCs w:val="28"/>
        </w:rPr>
        <w:sym w:font="HQPB1" w:char="F066"/>
      </w:r>
      <w:r>
        <w:rPr>
          <w:sz w:val="28"/>
          <w:szCs w:val="28"/>
        </w:rPr>
        <w:sym w:font="HQPB5" w:char="F075"/>
      </w:r>
      <w:r>
        <w:rPr>
          <w:sz w:val="28"/>
          <w:szCs w:val="28"/>
        </w:rPr>
        <w:sym w:font="HQPB2" w:char="F05A"/>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F"/>
      </w:r>
      <w:r>
        <w:rPr>
          <w:sz w:val="28"/>
          <w:szCs w:val="28"/>
        </w:rPr>
        <w:sym w:font="HQPB1" w:char="F03F"/>
      </w:r>
      <w:r>
        <w:rPr>
          <w:sz w:val="28"/>
          <w:szCs w:val="28"/>
        </w:rPr>
        <w:sym w:font="HQPB5" w:char="F079"/>
      </w:r>
      <w:r>
        <w:rPr>
          <w:sz w:val="28"/>
          <w:szCs w:val="28"/>
        </w:rPr>
        <w:sym w:font="HQPB1" w:char="F097"/>
      </w:r>
      <w:r>
        <w:rPr>
          <w:sz w:val="28"/>
          <w:szCs w:val="28"/>
        </w:rPr>
        <w:sym w:font="HQPB1" w:char="F024"/>
      </w:r>
      <w:r>
        <w:rPr>
          <w:sz w:val="28"/>
          <w:szCs w:val="28"/>
        </w:rPr>
        <w:sym w:font="HQPB5" w:char="F078"/>
      </w:r>
      <w:r>
        <w:rPr>
          <w:sz w:val="28"/>
          <w:szCs w:val="28"/>
        </w:rPr>
        <w:sym w:font="HQPB1" w:char="F0FF"/>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8F"/>
      </w:r>
      <w:r>
        <w:rPr>
          <w:sz w:val="28"/>
          <w:szCs w:val="28"/>
        </w:rPr>
        <w:sym w:font="HQPB1" w:char="F0A1"/>
      </w:r>
      <w:r>
        <w:rPr>
          <w:sz w:val="28"/>
          <w:szCs w:val="28"/>
        </w:rPr>
        <w:sym w:font="HQPB5" w:char="F079"/>
      </w:r>
      <w:r>
        <w:rPr>
          <w:sz w:val="28"/>
          <w:szCs w:val="28"/>
        </w:rPr>
        <w:sym w:font="HQPB2" w:char="F04A"/>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2" w:char="F0E4"/>
      </w:r>
      <w:r>
        <w:rPr>
          <w:sz w:val="28"/>
          <w:szCs w:val="28"/>
        </w:rPr>
        <w:sym w:font="HQPB4" w:char="F0FE"/>
      </w:r>
      <w:r>
        <w:rPr>
          <w:sz w:val="28"/>
          <w:szCs w:val="28"/>
        </w:rPr>
        <w:sym w:font="HQPB2" w:char="F071"/>
      </w:r>
      <w:r>
        <w:rPr>
          <w:sz w:val="28"/>
          <w:szCs w:val="28"/>
        </w:rPr>
        <w:sym w:font="HQPB4" w:char="F08F"/>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7"/>
      </w:r>
      <w:r>
        <w:rPr>
          <w:sz w:val="28"/>
          <w:szCs w:val="28"/>
        </w:rPr>
        <w:sym w:font="HQPB2" w:char="F052"/>
      </w:r>
      <w:r>
        <w:rPr>
          <w:sz w:val="28"/>
          <w:szCs w:val="28"/>
        </w:rPr>
        <w:sym w:font="HQPB5" w:char="F074"/>
      </w:r>
      <w:r>
        <w:rPr>
          <w:sz w:val="28"/>
          <w:szCs w:val="28"/>
        </w:rPr>
        <w:sym w:font="HQPB1" w:char="F093"/>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A"/>
      </w:r>
      <w:r>
        <w:rPr>
          <w:sz w:val="28"/>
          <w:szCs w:val="28"/>
        </w:rPr>
        <w:sym w:font="HQPB2" w:char="F0C8"/>
      </w:r>
      <w:r>
        <w:rPr>
          <w:rFonts w:ascii="(normal text)" w:hAnsi="(normal text)"/>
          <w:rtl/>
        </w:rPr>
        <w:t xml:space="preserve">   </w:t>
      </w:r>
    </w:p>
    <w:p w:rsidR="00F83831" w:rsidRPr="00D6524F" w:rsidRDefault="00F83831" w:rsidP="00F83831">
      <w:pPr>
        <w:pStyle w:val="ListParagraph"/>
        <w:spacing w:after="0" w:line="456" w:lineRule="auto"/>
        <w:ind w:left="0"/>
        <w:jc w:val="both"/>
        <w:rPr>
          <w:rFonts w:asciiTheme="majorBidi" w:hAnsiTheme="majorBidi" w:cstheme="majorBidi"/>
          <w:sz w:val="24"/>
          <w:szCs w:val="24"/>
          <w:lang w:val="en-US"/>
        </w:rPr>
      </w:pPr>
      <w:r>
        <w:rPr>
          <w:rFonts w:ascii="(normal text)" w:hAnsi="(normal text)"/>
          <w:sz w:val="20"/>
        </w:rPr>
        <w:t xml:space="preserve"> </w:t>
      </w:r>
      <w:r w:rsidRPr="00D6524F">
        <w:rPr>
          <w:rFonts w:asciiTheme="majorBidi" w:hAnsiTheme="majorBidi" w:cstheme="majorBidi"/>
          <w:sz w:val="24"/>
          <w:szCs w:val="24"/>
        </w:rPr>
        <w:t xml:space="preserve">dan pada hari kiamat kamu akan melihat orang-orang yang berbuat Dusta terhadap Allah, mukanya menjadi hitam. Bukankah dalam neraka Jahannam itu ada tempat bagi orang-orang yang menyombongkan diri? dan Allah </w:t>
      </w:r>
      <w:r w:rsidRPr="00D6524F">
        <w:rPr>
          <w:rFonts w:asciiTheme="majorBidi" w:hAnsiTheme="majorBidi" w:cstheme="majorBidi"/>
          <w:sz w:val="24"/>
          <w:szCs w:val="24"/>
        </w:rPr>
        <w:lastRenderedPageBreak/>
        <w:t>menyelamatkan orang-orang yang bertakwa karena kemenangan mereka, mereka tiada disentuh oleh azab (neraka dan tidak pula) mereka berduka cita.(</w:t>
      </w:r>
      <w:r w:rsidRPr="00D6524F">
        <w:t xml:space="preserve"> </w:t>
      </w:r>
      <w:r>
        <w:rPr>
          <w:rFonts w:asciiTheme="majorBidi" w:hAnsiTheme="majorBidi" w:cstheme="majorBidi"/>
          <w:sz w:val="24"/>
          <w:szCs w:val="24"/>
          <w:lang w:val="en-US"/>
        </w:rPr>
        <w:t xml:space="preserve">QS. </w:t>
      </w:r>
      <w:r w:rsidRPr="00D6524F">
        <w:rPr>
          <w:rFonts w:asciiTheme="majorBidi" w:hAnsiTheme="majorBidi" w:cstheme="majorBidi"/>
          <w:sz w:val="24"/>
          <w:szCs w:val="24"/>
        </w:rPr>
        <w:t>Az Zumar</w:t>
      </w:r>
      <w:r>
        <w:rPr>
          <w:rFonts w:asciiTheme="majorBidi" w:hAnsiTheme="majorBidi" w:cstheme="majorBidi"/>
          <w:sz w:val="24"/>
          <w:szCs w:val="24"/>
          <w:lang w:val="en-US"/>
        </w:rPr>
        <w:t>:60-61)</w:t>
      </w:r>
    </w:p>
    <w:p w:rsidR="00F83831" w:rsidRDefault="00F83831" w:rsidP="00F83831">
      <w:pPr>
        <w:pStyle w:val="ListParagraph"/>
        <w:spacing w:after="0" w:line="456"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Ayat diatas  menjelaskan bahawa  pada intinya singgahan  bagi orang-oarang yang mendustakan ayat-ayat Allah dan menyombongkan diri. Ayat diatas juga menyatakan pada hari hari kiamat ganjaran bagi orang yang angkuh dan sombong dinyatakan dari ayat diatas muka mereka  mennghitam.  Lalu Kata hitam oleh Qurish Shihab di gunakan sebagai kiasan, dalam arti buruk, sedih  dan lain-lain yang mengandung makna negative. Kalaupun kehitaman yang dimkasud dipahami dalam arti hakiki, maka tentu saja itu bukan dalam pengertian warna kulit  sebagaimana halnya  di dunia ini. Tetapi kehitaman itu adalah akibat  hangus  terbakar  di api neraka. Atas dasar itu pula kita tidak dapat berkata  bahwa  ayat diatas  merendahkan  orang-orang yang berkulit hitam, karena hitam dan putihnya  warna  kulit  ditetapkan  Allah  untuk kepentingan makhluk itu sendiri,  antara lain agar dia dapat beradaptasi  dengan lingkungan di mana leluhurnya lahir. Dari pernyatan diatas ungkapanyang akan ditindak lanjuti penafsiran yang akan di jelaskan di Bab VI, </w:t>
      </w:r>
      <w:r>
        <w:rPr>
          <w:rStyle w:val="FootnoteReference"/>
          <w:rFonts w:asciiTheme="majorBidi" w:hAnsiTheme="majorBidi" w:cstheme="majorBidi"/>
          <w:sz w:val="24"/>
          <w:szCs w:val="24"/>
        </w:rPr>
        <w:footnoteReference w:id="12"/>
      </w:r>
    </w:p>
    <w:p w:rsidR="00F83831" w:rsidRDefault="00F83831" w:rsidP="00F83831">
      <w:pPr>
        <w:pStyle w:val="ListParagraph"/>
        <w:spacing w:after="0" w:line="528" w:lineRule="auto"/>
        <w:ind w:left="0" w:firstLine="709"/>
        <w:jc w:val="both"/>
        <w:rPr>
          <w:rFonts w:asciiTheme="majorBidi" w:hAnsiTheme="majorBidi" w:cstheme="majorBidi"/>
          <w:sz w:val="24"/>
          <w:szCs w:val="24"/>
          <w:lang w:val="en-US"/>
        </w:rPr>
      </w:pPr>
    </w:p>
    <w:p w:rsidR="00F366F3" w:rsidRPr="00F83831" w:rsidRDefault="00F366F3">
      <w:pPr>
        <w:rPr>
          <w:lang w:val="en-US"/>
        </w:rPr>
      </w:pPr>
    </w:p>
    <w:sectPr w:rsidR="00F366F3" w:rsidRPr="00F83831" w:rsidSect="00F83831">
      <w:headerReference w:type="default" r:id="rId8"/>
      <w:pgSz w:w="10319" w:h="14571" w:code="13"/>
      <w:pgMar w:top="1440" w:right="1440" w:bottom="1440" w:left="1440" w:header="708" w:footer="97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5A" w:rsidRDefault="00657E5A" w:rsidP="00F83831">
      <w:pPr>
        <w:spacing w:after="0" w:line="240" w:lineRule="auto"/>
      </w:pPr>
      <w:r>
        <w:separator/>
      </w:r>
    </w:p>
  </w:endnote>
  <w:endnote w:type="continuationSeparator" w:id="0">
    <w:p w:rsidR="00657E5A" w:rsidRDefault="00657E5A" w:rsidP="00F8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5A" w:rsidRDefault="00657E5A" w:rsidP="00F83831">
      <w:pPr>
        <w:spacing w:after="0" w:line="240" w:lineRule="auto"/>
      </w:pPr>
      <w:r>
        <w:separator/>
      </w:r>
    </w:p>
  </w:footnote>
  <w:footnote w:type="continuationSeparator" w:id="0">
    <w:p w:rsidR="00657E5A" w:rsidRDefault="00657E5A" w:rsidP="00F83831">
      <w:pPr>
        <w:spacing w:after="0" w:line="240" w:lineRule="auto"/>
      </w:pPr>
      <w:r>
        <w:continuationSeparator/>
      </w:r>
    </w:p>
  </w:footnote>
  <w:footnote w:id="1">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 Islah Gusmian</w:t>
      </w:r>
      <w:r w:rsidRPr="00337AB9">
        <w:rPr>
          <w:rFonts w:asciiTheme="majorBidi" w:hAnsiTheme="majorBidi" w:cstheme="majorBidi"/>
          <w:i/>
          <w:iCs/>
        </w:rPr>
        <w:t>, Khazanah Tafsir Indonesia</w:t>
      </w:r>
      <w:r w:rsidRPr="00337AB9">
        <w:rPr>
          <w:rFonts w:asciiTheme="majorBidi" w:hAnsiTheme="majorBidi" w:cstheme="majorBidi"/>
        </w:rPr>
        <w:t>, Jakarta:Teraju,p 80.</w:t>
      </w:r>
    </w:p>
  </w:footnote>
  <w:footnote w:id="2">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 </w:t>
      </w:r>
      <w:r w:rsidRPr="00337AB9">
        <w:rPr>
          <w:rFonts w:asciiTheme="majorBidi" w:hAnsiTheme="majorBidi" w:cstheme="majorBidi"/>
        </w:rPr>
        <w:t>M.Quraish Shihab</w:t>
      </w:r>
      <w:r w:rsidRPr="00337AB9">
        <w:rPr>
          <w:rFonts w:asciiTheme="majorBidi" w:hAnsiTheme="majorBidi" w:cstheme="majorBidi"/>
          <w:i/>
          <w:iCs/>
        </w:rPr>
        <w:t>, Membumikan Al- Qur’an,</w:t>
      </w:r>
      <w:r w:rsidRPr="00337AB9">
        <w:rPr>
          <w:rFonts w:asciiTheme="majorBidi" w:hAnsiTheme="majorBidi" w:cstheme="majorBidi"/>
        </w:rPr>
        <w:t>Bandung: Mizan, 1998.p,3.</w:t>
      </w:r>
    </w:p>
  </w:footnote>
  <w:footnote w:id="3">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 </w:t>
      </w:r>
      <w:r w:rsidRPr="00337AB9">
        <w:rPr>
          <w:rFonts w:asciiTheme="majorBidi" w:hAnsiTheme="majorBidi" w:cstheme="majorBidi"/>
        </w:rPr>
        <w:t>M.Quraish shihab</w:t>
      </w:r>
      <w:r w:rsidRPr="00337AB9">
        <w:rPr>
          <w:rFonts w:asciiTheme="majorBidi" w:hAnsiTheme="majorBidi" w:cstheme="majorBidi"/>
          <w:i/>
          <w:iCs/>
        </w:rPr>
        <w:t>,membumikan Al- Qur’an,</w:t>
      </w:r>
      <w:r w:rsidRPr="00337AB9">
        <w:rPr>
          <w:rFonts w:asciiTheme="majorBidi" w:hAnsiTheme="majorBidi" w:cstheme="majorBidi"/>
        </w:rPr>
        <w:t>Bandung: Mizan, 1998.p 3.</w:t>
      </w:r>
    </w:p>
  </w:footnote>
  <w:footnote w:id="4">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 </w:t>
      </w:r>
      <w:r w:rsidRPr="00337AB9">
        <w:rPr>
          <w:rFonts w:asciiTheme="majorBidi" w:hAnsiTheme="majorBidi" w:cstheme="majorBidi"/>
        </w:rPr>
        <w:t xml:space="preserve">M.quraish shihab, </w:t>
      </w:r>
      <w:r w:rsidRPr="00337AB9">
        <w:rPr>
          <w:rFonts w:asciiTheme="majorBidi" w:hAnsiTheme="majorBidi" w:cstheme="majorBidi"/>
          <w:i/>
          <w:iCs/>
        </w:rPr>
        <w:t>Wawasan Al-Qur’an: Tafsir Maudhu’i Atas Persoalan  Umat</w:t>
      </w:r>
      <w:r w:rsidRPr="00337AB9">
        <w:rPr>
          <w:rFonts w:asciiTheme="majorBidi" w:hAnsiTheme="majorBidi" w:cstheme="majorBidi"/>
        </w:rPr>
        <w:t>, Bandung: Mizan,2001. Mukodimah.</w:t>
      </w:r>
    </w:p>
  </w:footnote>
  <w:footnote w:id="5">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 </w:t>
      </w:r>
      <w:r w:rsidRPr="00337AB9">
        <w:rPr>
          <w:rFonts w:asciiTheme="majorBidi" w:hAnsiTheme="majorBidi" w:cstheme="majorBidi"/>
        </w:rPr>
        <w:t xml:space="preserve">Endad Musaddad, </w:t>
      </w:r>
      <w:r w:rsidRPr="00337AB9">
        <w:rPr>
          <w:rFonts w:asciiTheme="majorBidi" w:hAnsiTheme="majorBidi" w:cstheme="majorBidi"/>
          <w:i/>
          <w:iCs/>
        </w:rPr>
        <w:t>Pemikiran Tafsir Persefektif Quraish Shihab</w:t>
      </w:r>
      <w:r w:rsidRPr="00337AB9">
        <w:rPr>
          <w:rFonts w:asciiTheme="majorBidi" w:hAnsiTheme="majorBidi" w:cstheme="majorBidi"/>
        </w:rPr>
        <w:t xml:space="preserve">,Fud Press Serang, 2010, p, 59. </w:t>
      </w:r>
    </w:p>
  </w:footnote>
  <w:footnote w:id="6">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 </w:t>
      </w:r>
      <w:r w:rsidRPr="00337AB9">
        <w:rPr>
          <w:rFonts w:asciiTheme="majorBidi" w:hAnsiTheme="majorBidi" w:cstheme="majorBidi"/>
        </w:rPr>
        <w:t xml:space="preserve">Lihat Endad Musaddad, </w:t>
      </w:r>
      <w:r w:rsidRPr="00337AB9">
        <w:rPr>
          <w:rFonts w:asciiTheme="majorBidi" w:hAnsiTheme="majorBidi" w:cstheme="majorBidi"/>
          <w:i/>
          <w:iCs/>
        </w:rPr>
        <w:t>pemikiran tafsir persefektif Quraish shihab</w:t>
      </w:r>
      <w:r w:rsidRPr="00337AB9">
        <w:rPr>
          <w:rFonts w:asciiTheme="majorBidi" w:hAnsiTheme="majorBidi" w:cstheme="majorBidi"/>
        </w:rPr>
        <w:t>, 2010, p 60-62.</w:t>
      </w:r>
    </w:p>
  </w:footnote>
  <w:footnote w:id="7">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Endad Musaddad, </w:t>
      </w:r>
      <w:r w:rsidRPr="00337AB9">
        <w:rPr>
          <w:rFonts w:asciiTheme="majorBidi" w:hAnsiTheme="majorBidi" w:cstheme="majorBidi"/>
          <w:i/>
          <w:iCs/>
        </w:rPr>
        <w:t>Study tafsir di Indonesia (kajian atas tafsir Karya Ulama Nusantara)</w:t>
      </w:r>
      <w:r w:rsidRPr="00337AB9">
        <w:rPr>
          <w:rFonts w:asciiTheme="majorBidi" w:hAnsiTheme="majorBidi" w:cstheme="majorBidi"/>
        </w:rPr>
        <w:t>, Tengerang Selatan Sintesis, 2012, p 158.</w:t>
      </w:r>
    </w:p>
  </w:footnote>
  <w:footnote w:id="8">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Musaddad, </w:t>
      </w:r>
      <w:r w:rsidRPr="00337AB9">
        <w:rPr>
          <w:rFonts w:asciiTheme="majorBidi" w:hAnsiTheme="majorBidi" w:cstheme="majorBidi"/>
          <w:i/>
          <w:iCs/>
        </w:rPr>
        <w:t>Study Tafsir di Indonesia,</w:t>
      </w:r>
      <w:r w:rsidRPr="00337AB9">
        <w:rPr>
          <w:rFonts w:asciiTheme="majorBidi" w:hAnsiTheme="majorBidi" w:cstheme="majorBidi"/>
        </w:rPr>
        <w:t xml:space="preserve"> p 159.</w:t>
      </w:r>
    </w:p>
  </w:footnote>
  <w:footnote w:id="9">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Musaddad, </w:t>
      </w:r>
      <w:r w:rsidRPr="00337AB9">
        <w:rPr>
          <w:rFonts w:asciiTheme="majorBidi" w:hAnsiTheme="majorBidi" w:cstheme="majorBidi"/>
          <w:i/>
          <w:iCs/>
        </w:rPr>
        <w:t>study tafsir Indonesia</w:t>
      </w:r>
      <w:r w:rsidRPr="00337AB9">
        <w:rPr>
          <w:rFonts w:asciiTheme="majorBidi" w:hAnsiTheme="majorBidi" w:cstheme="majorBidi"/>
        </w:rPr>
        <w:t>, p160.</w:t>
      </w:r>
    </w:p>
  </w:footnote>
  <w:footnote w:id="10">
    <w:p w:rsidR="00F83831" w:rsidRPr="00337AB9" w:rsidRDefault="00F83831" w:rsidP="00F83831">
      <w:pPr>
        <w:pStyle w:val="FootnoteText"/>
        <w:ind w:firstLine="709"/>
        <w:jc w:val="both"/>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Lihat musaddad, </w:t>
      </w:r>
      <w:r w:rsidRPr="00337AB9">
        <w:rPr>
          <w:rFonts w:asciiTheme="majorBidi" w:hAnsiTheme="majorBidi" w:cstheme="majorBidi"/>
          <w:i/>
          <w:iCs/>
        </w:rPr>
        <w:t>study tafsir di Indonesia</w:t>
      </w:r>
      <w:r w:rsidRPr="00337AB9">
        <w:rPr>
          <w:rFonts w:asciiTheme="majorBidi" w:hAnsiTheme="majorBidi" w:cstheme="majorBidi"/>
        </w:rPr>
        <w:t>, p 162.</w:t>
      </w:r>
    </w:p>
  </w:footnote>
  <w:footnote w:id="11">
    <w:p w:rsidR="00F83831" w:rsidRPr="00337AB9" w:rsidRDefault="00F83831" w:rsidP="00F83831">
      <w:pPr>
        <w:pStyle w:val="FootnoteText"/>
        <w:ind w:firstLine="709"/>
        <w:rPr>
          <w:rFonts w:asciiTheme="majorBidi" w:hAnsiTheme="majorBidi" w:cstheme="majorBidi"/>
        </w:rPr>
      </w:pPr>
      <w:r w:rsidRPr="00337AB9">
        <w:rPr>
          <w:rStyle w:val="FootnoteReference"/>
          <w:rFonts w:asciiTheme="majorBidi" w:hAnsiTheme="majorBidi" w:cstheme="majorBidi"/>
        </w:rPr>
        <w:footnoteRef/>
      </w:r>
      <w:r w:rsidRPr="00337AB9">
        <w:rPr>
          <w:rFonts w:asciiTheme="majorBidi" w:hAnsiTheme="majorBidi" w:cstheme="majorBidi"/>
        </w:rPr>
        <w:t xml:space="preserve"> </w:t>
      </w:r>
      <w:r w:rsidRPr="00337AB9">
        <w:rPr>
          <w:rFonts w:asciiTheme="majorBidi" w:hAnsiTheme="majorBidi" w:cstheme="majorBidi"/>
        </w:rPr>
        <w:t xml:space="preserve">Quraish Shihab, </w:t>
      </w:r>
      <w:r w:rsidRPr="00DE2784">
        <w:rPr>
          <w:rFonts w:asciiTheme="majorBidi" w:hAnsiTheme="majorBidi" w:cstheme="majorBidi"/>
          <w:i/>
          <w:iCs/>
        </w:rPr>
        <w:t>tafsir Al-misbah(pesan, kesan  dan keserasian  Al-Qur’an</w:t>
      </w:r>
      <w:r w:rsidRPr="00337AB9">
        <w:rPr>
          <w:rFonts w:asciiTheme="majorBidi" w:hAnsiTheme="majorBidi" w:cstheme="majorBidi"/>
        </w:rPr>
        <w:t xml:space="preserve"> , Jakarta: lentera hati, 2002.</w:t>
      </w:r>
    </w:p>
  </w:footnote>
  <w:footnote w:id="12">
    <w:p w:rsidR="00F83831" w:rsidRPr="00684E76" w:rsidRDefault="00F83831" w:rsidP="00F83831">
      <w:pPr>
        <w:pStyle w:val="FootnoteText"/>
        <w:ind w:firstLine="709"/>
        <w:jc w:val="both"/>
        <w:rPr>
          <w:rFonts w:asciiTheme="majorBidi" w:hAnsiTheme="majorBidi" w:cstheme="majorBidi"/>
        </w:rPr>
      </w:pPr>
      <w:r>
        <w:rPr>
          <w:rStyle w:val="FootnoteReference"/>
        </w:rPr>
        <w:footnoteRef/>
      </w:r>
      <w:r w:rsidRPr="00337AB9">
        <w:rPr>
          <w:rFonts w:asciiTheme="majorBidi" w:hAnsiTheme="majorBidi" w:cstheme="majorBidi"/>
        </w:rPr>
        <w:t>Quraish Shihab</w:t>
      </w:r>
      <w:r w:rsidRPr="00684E76">
        <w:rPr>
          <w:rFonts w:asciiTheme="majorBidi" w:hAnsiTheme="majorBidi" w:cstheme="majorBidi"/>
          <w:i/>
          <w:iCs/>
        </w:rPr>
        <w:t>, Tafsir Al-Misbah(Pesan, Kesan  dan Keserasian  Al-Qur’an</w:t>
      </w:r>
      <w:r w:rsidRPr="00337AB9">
        <w:rPr>
          <w:rFonts w:asciiTheme="majorBidi" w:hAnsiTheme="majorBidi" w:cstheme="majorBidi"/>
        </w:rPr>
        <w:t>, Jakarta: Lentera Hati, 2002.</w:t>
      </w:r>
      <w:r>
        <w:rPr>
          <w:rFonts w:asciiTheme="majorBidi" w:hAnsiTheme="majorBidi" w:cstheme="majorBidi"/>
        </w:rPr>
        <w:t>p.257.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464615"/>
      <w:docPartObj>
        <w:docPartGallery w:val="Page Numbers (Top of Page)"/>
        <w:docPartUnique/>
      </w:docPartObj>
    </w:sdtPr>
    <w:sdtEndPr>
      <w:rPr>
        <w:noProof/>
      </w:rPr>
    </w:sdtEndPr>
    <w:sdtContent>
      <w:p w:rsidR="00F83831" w:rsidRDefault="00F83831" w:rsidP="00F83831">
        <w:pPr>
          <w:pStyle w:val="Header"/>
        </w:pPr>
        <w:r>
          <w:fldChar w:fldCharType="begin"/>
        </w:r>
        <w:r>
          <w:instrText xml:space="preserve"> PAGE   \* MERGEFORMAT </w:instrText>
        </w:r>
        <w:r>
          <w:fldChar w:fldCharType="separate"/>
        </w:r>
        <w:r w:rsidR="00ED34D5">
          <w:rPr>
            <w:noProof/>
          </w:rPr>
          <w:t>43</w:t>
        </w:r>
        <w:r>
          <w:rPr>
            <w:noProof/>
          </w:rPr>
          <w:fldChar w:fldCharType="end"/>
        </w:r>
      </w:p>
    </w:sdtContent>
  </w:sdt>
  <w:p w:rsidR="00F83831" w:rsidRDefault="00F8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4F98"/>
    <w:multiLevelType w:val="hybridMultilevel"/>
    <w:tmpl w:val="11F67D62"/>
    <w:lvl w:ilvl="0" w:tplc="25E63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122E95"/>
    <w:multiLevelType w:val="hybridMultilevel"/>
    <w:tmpl w:val="9FF62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31"/>
    <w:rsid w:val="00023C37"/>
    <w:rsid w:val="000D44CF"/>
    <w:rsid w:val="000F4A33"/>
    <w:rsid w:val="00144B7E"/>
    <w:rsid w:val="001A5516"/>
    <w:rsid w:val="001B3D47"/>
    <w:rsid w:val="001E0025"/>
    <w:rsid w:val="001E171F"/>
    <w:rsid w:val="0020335E"/>
    <w:rsid w:val="00223D17"/>
    <w:rsid w:val="002C017A"/>
    <w:rsid w:val="003722E3"/>
    <w:rsid w:val="003E0E18"/>
    <w:rsid w:val="003F459B"/>
    <w:rsid w:val="00411DB7"/>
    <w:rsid w:val="00497337"/>
    <w:rsid w:val="0054691A"/>
    <w:rsid w:val="005611ED"/>
    <w:rsid w:val="00574DEC"/>
    <w:rsid w:val="0065736E"/>
    <w:rsid w:val="00657E5A"/>
    <w:rsid w:val="00666C05"/>
    <w:rsid w:val="006A5E85"/>
    <w:rsid w:val="006D733C"/>
    <w:rsid w:val="00790CB2"/>
    <w:rsid w:val="007F3053"/>
    <w:rsid w:val="008521B8"/>
    <w:rsid w:val="008A1A56"/>
    <w:rsid w:val="00905289"/>
    <w:rsid w:val="00925F1C"/>
    <w:rsid w:val="00960E4D"/>
    <w:rsid w:val="009933C3"/>
    <w:rsid w:val="00A07EA4"/>
    <w:rsid w:val="00A122D1"/>
    <w:rsid w:val="00A1255C"/>
    <w:rsid w:val="00A70226"/>
    <w:rsid w:val="00AE7200"/>
    <w:rsid w:val="00B80E9F"/>
    <w:rsid w:val="00BE478B"/>
    <w:rsid w:val="00C14D12"/>
    <w:rsid w:val="00C22DC9"/>
    <w:rsid w:val="00D15A87"/>
    <w:rsid w:val="00D7129C"/>
    <w:rsid w:val="00D96CDD"/>
    <w:rsid w:val="00E8705D"/>
    <w:rsid w:val="00E92EA2"/>
    <w:rsid w:val="00EB3FB6"/>
    <w:rsid w:val="00ED34D5"/>
    <w:rsid w:val="00EE089C"/>
    <w:rsid w:val="00F366F3"/>
    <w:rsid w:val="00F70EE7"/>
    <w:rsid w:val="00F83831"/>
    <w:rsid w:val="00FA0472"/>
    <w:rsid w:val="00FD5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3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3831"/>
    <w:pPr>
      <w:spacing w:after="0" w:line="240" w:lineRule="auto"/>
    </w:pPr>
    <w:rPr>
      <w:sz w:val="20"/>
      <w:szCs w:val="20"/>
    </w:rPr>
  </w:style>
  <w:style w:type="character" w:customStyle="1" w:styleId="FootnoteTextChar">
    <w:name w:val="Footnote Text Char"/>
    <w:basedOn w:val="DefaultParagraphFont"/>
    <w:link w:val="FootnoteText"/>
    <w:uiPriority w:val="99"/>
    <w:rsid w:val="00F83831"/>
    <w:rPr>
      <w:rFonts w:eastAsiaTheme="minorEastAsia"/>
      <w:sz w:val="20"/>
      <w:szCs w:val="20"/>
      <w:lang w:eastAsia="id-ID"/>
    </w:rPr>
  </w:style>
  <w:style w:type="character" w:styleId="FootnoteReference">
    <w:name w:val="footnote reference"/>
    <w:basedOn w:val="DefaultParagraphFont"/>
    <w:uiPriority w:val="99"/>
    <w:semiHidden/>
    <w:unhideWhenUsed/>
    <w:rsid w:val="00F83831"/>
    <w:rPr>
      <w:vertAlign w:val="superscript"/>
    </w:rPr>
  </w:style>
  <w:style w:type="paragraph" w:styleId="ListParagraph">
    <w:name w:val="List Paragraph"/>
    <w:basedOn w:val="Normal"/>
    <w:uiPriority w:val="34"/>
    <w:qFormat/>
    <w:rsid w:val="00F83831"/>
    <w:pPr>
      <w:ind w:left="720"/>
      <w:contextualSpacing/>
    </w:pPr>
  </w:style>
  <w:style w:type="paragraph" w:styleId="Header">
    <w:name w:val="header"/>
    <w:basedOn w:val="Normal"/>
    <w:link w:val="HeaderChar"/>
    <w:uiPriority w:val="99"/>
    <w:unhideWhenUsed/>
    <w:rsid w:val="00F83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831"/>
    <w:rPr>
      <w:rFonts w:eastAsiaTheme="minorEastAsia"/>
      <w:lang w:eastAsia="id-ID"/>
    </w:rPr>
  </w:style>
  <w:style w:type="paragraph" w:styleId="Footer">
    <w:name w:val="footer"/>
    <w:basedOn w:val="Normal"/>
    <w:link w:val="FooterChar"/>
    <w:uiPriority w:val="99"/>
    <w:unhideWhenUsed/>
    <w:rsid w:val="00F83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831"/>
    <w:rPr>
      <w:rFonts w:eastAsiaTheme="minorEastAsia"/>
      <w:lang w:eastAsia="id-ID"/>
    </w:rPr>
  </w:style>
  <w:style w:type="paragraph" w:styleId="BalloonText">
    <w:name w:val="Balloon Text"/>
    <w:basedOn w:val="Normal"/>
    <w:link w:val="BalloonTextChar"/>
    <w:uiPriority w:val="99"/>
    <w:semiHidden/>
    <w:unhideWhenUsed/>
    <w:rsid w:val="00F8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31"/>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3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3831"/>
    <w:pPr>
      <w:spacing w:after="0" w:line="240" w:lineRule="auto"/>
    </w:pPr>
    <w:rPr>
      <w:sz w:val="20"/>
      <w:szCs w:val="20"/>
    </w:rPr>
  </w:style>
  <w:style w:type="character" w:customStyle="1" w:styleId="FootnoteTextChar">
    <w:name w:val="Footnote Text Char"/>
    <w:basedOn w:val="DefaultParagraphFont"/>
    <w:link w:val="FootnoteText"/>
    <w:uiPriority w:val="99"/>
    <w:rsid w:val="00F83831"/>
    <w:rPr>
      <w:rFonts w:eastAsiaTheme="minorEastAsia"/>
      <w:sz w:val="20"/>
      <w:szCs w:val="20"/>
      <w:lang w:eastAsia="id-ID"/>
    </w:rPr>
  </w:style>
  <w:style w:type="character" w:styleId="FootnoteReference">
    <w:name w:val="footnote reference"/>
    <w:basedOn w:val="DefaultParagraphFont"/>
    <w:uiPriority w:val="99"/>
    <w:semiHidden/>
    <w:unhideWhenUsed/>
    <w:rsid w:val="00F83831"/>
    <w:rPr>
      <w:vertAlign w:val="superscript"/>
    </w:rPr>
  </w:style>
  <w:style w:type="paragraph" w:styleId="ListParagraph">
    <w:name w:val="List Paragraph"/>
    <w:basedOn w:val="Normal"/>
    <w:uiPriority w:val="34"/>
    <w:qFormat/>
    <w:rsid w:val="00F83831"/>
    <w:pPr>
      <w:ind w:left="720"/>
      <w:contextualSpacing/>
    </w:pPr>
  </w:style>
  <w:style w:type="paragraph" w:styleId="Header">
    <w:name w:val="header"/>
    <w:basedOn w:val="Normal"/>
    <w:link w:val="HeaderChar"/>
    <w:uiPriority w:val="99"/>
    <w:unhideWhenUsed/>
    <w:rsid w:val="00F83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831"/>
    <w:rPr>
      <w:rFonts w:eastAsiaTheme="minorEastAsia"/>
      <w:lang w:eastAsia="id-ID"/>
    </w:rPr>
  </w:style>
  <w:style w:type="paragraph" w:styleId="Footer">
    <w:name w:val="footer"/>
    <w:basedOn w:val="Normal"/>
    <w:link w:val="FooterChar"/>
    <w:uiPriority w:val="99"/>
    <w:unhideWhenUsed/>
    <w:rsid w:val="00F83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831"/>
    <w:rPr>
      <w:rFonts w:eastAsiaTheme="minorEastAsia"/>
      <w:lang w:eastAsia="id-ID"/>
    </w:rPr>
  </w:style>
  <w:style w:type="paragraph" w:styleId="BalloonText">
    <w:name w:val="Balloon Text"/>
    <w:basedOn w:val="Normal"/>
    <w:link w:val="BalloonTextChar"/>
    <w:uiPriority w:val="99"/>
    <w:semiHidden/>
    <w:unhideWhenUsed/>
    <w:rsid w:val="00F8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31"/>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cp:lastPrinted>2015-11-05T07:12:00Z</cp:lastPrinted>
  <dcterms:created xsi:type="dcterms:W3CDTF">2015-11-05T07:04:00Z</dcterms:created>
  <dcterms:modified xsi:type="dcterms:W3CDTF">2015-11-05T07:24:00Z</dcterms:modified>
</cp:coreProperties>
</file>